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CB29" w14:textId="77777777"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19A9A17D" w14:textId="77777777"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14:paraId="1BA4F7BA"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2C060B5" w14:textId="77777777" w:rsidR="007D1E76" w:rsidRPr="00E74967" w:rsidRDefault="007D1E76" w:rsidP="00CB41C4">
      <w:pPr>
        <w:tabs>
          <w:tab w:val="left" w:leader="underscore" w:pos="9639"/>
        </w:tabs>
        <w:spacing w:after="0" w:line="240" w:lineRule="auto"/>
        <w:jc w:val="both"/>
        <w:rPr>
          <w:rFonts w:cs="Calibri"/>
        </w:rPr>
      </w:pPr>
    </w:p>
    <w:p w14:paraId="494AB3D4" w14:textId="77777777" w:rsidR="007D1E76" w:rsidRPr="00E74967" w:rsidRDefault="007D1E76" w:rsidP="00CB41C4">
      <w:pPr>
        <w:tabs>
          <w:tab w:val="left" w:leader="underscore" w:pos="9639"/>
        </w:tabs>
        <w:spacing w:after="0" w:line="240" w:lineRule="auto"/>
        <w:jc w:val="both"/>
        <w:rPr>
          <w:rFonts w:cs="Calibri"/>
        </w:rPr>
      </w:pPr>
    </w:p>
    <w:p w14:paraId="51E1AF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5A062452" w14:textId="77777777" w:rsidR="007D1E76" w:rsidRPr="00E74967" w:rsidRDefault="007D1E76" w:rsidP="00CB41C4">
      <w:pPr>
        <w:tabs>
          <w:tab w:val="left" w:leader="underscore" w:pos="9639"/>
        </w:tabs>
        <w:spacing w:after="0" w:line="240" w:lineRule="auto"/>
        <w:jc w:val="both"/>
        <w:rPr>
          <w:rFonts w:cs="Calibri"/>
        </w:rPr>
      </w:pPr>
    </w:p>
    <w:p w14:paraId="38AC5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465419D1" w14:textId="77777777" w:rsidR="007D1E76" w:rsidRPr="00E74967" w:rsidRDefault="007D1E76" w:rsidP="00CB41C4">
      <w:pPr>
        <w:tabs>
          <w:tab w:val="left" w:leader="underscore" w:pos="9639"/>
        </w:tabs>
        <w:spacing w:after="0" w:line="240" w:lineRule="auto"/>
        <w:jc w:val="both"/>
        <w:rPr>
          <w:rFonts w:cs="Calibri"/>
        </w:rPr>
      </w:pPr>
    </w:p>
    <w:p w14:paraId="236F4D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0B7A3F" w14:textId="77777777" w:rsidR="007D1E76" w:rsidRPr="00E74967" w:rsidRDefault="007D1E76" w:rsidP="00CB41C4">
      <w:pPr>
        <w:pStyle w:val="Prrafodelista"/>
        <w:tabs>
          <w:tab w:val="left" w:leader="underscore" w:pos="9639"/>
        </w:tabs>
        <w:spacing w:after="0" w:line="240" w:lineRule="auto"/>
        <w:jc w:val="both"/>
        <w:rPr>
          <w:rFonts w:cs="Calibri"/>
        </w:rPr>
      </w:pPr>
    </w:p>
    <w:p w14:paraId="535D7DA1"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44A972EA"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3AA51ED" w14:textId="77777777" w:rsidR="00F46719" w:rsidRDefault="00F46719">
          <w:pPr>
            <w:pStyle w:val="TtuloTDC"/>
          </w:pPr>
          <w:r>
            <w:rPr>
              <w:lang w:val="es-ES"/>
            </w:rPr>
            <w:t>Contenido</w:t>
          </w:r>
        </w:p>
        <w:p w14:paraId="2815BF8D" w14:textId="31851734" w:rsidR="00154CA0" w:rsidRDefault="000028B8">
          <w:pPr>
            <w:pStyle w:val="TDC2"/>
            <w:tabs>
              <w:tab w:val="right" w:leader="dot" w:pos="9678"/>
            </w:tabs>
            <w:rPr>
              <w:rFonts w:asciiTheme="minorHAnsi" w:eastAsiaTheme="minorEastAsia" w:hAnsiTheme="minorHAnsi" w:cstheme="minorBidi"/>
              <w:noProof/>
              <w:lang w:eastAsia="es-MX"/>
            </w:rPr>
          </w:pPr>
          <w:r>
            <w:fldChar w:fldCharType="begin"/>
          </w:r>
          <w:r w:rsidR="00F46719">
            <w:instrText xml:space="preserve"> TOC \o "1-3" \h \z \u </w:instrText>
          </w:r>
          <w:r>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4E7929">
              <w:rPr>
                <w:noProof/>
                <w:webHidden/>
              </w:rPr>
              <w:t>2</w:t>
            </w:r>
            <w:r>
              <w:rPr>
                <w:noProof/>
                <w:webHidden/>
              </w:rPr>
              <w:fldChar w:fldCharType="end"/>
            </w:r>
          </w:hyperlink>
        </w:p>
        <w:p w14:paraId="65623E84" w14:textId="15740F0F" w:rsidR="00154CA0" w:rsidRDefault="00000000">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sidR="000028B8">
              <w:rPr>
                <w:noProof/>
                <w:webHidden/>
              </w:rPr>
              <w:fldChar w:fldCharType="begin"/>
            </w:r>
            <w:r w:rsidR="00154CA0">
              <w:rPr>
                <w:noProof/>
                <w:webHidden/>
              </w:rPr>
              <w:instrText xml:space="preserve"> PAGEREF _Toc89766142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050533EF" w14:textId="60807DF9" w:rsidR="00154CA0" w:rsidRDefault="00000000">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sidR="000028B8">
              <w:rPr>
                <w:noProof/>
                <w:webHidden/>
              </w:rPr>
              <w:fldChar w:fldCharType="begin"/>
            </w:r>
            <w:r w:rsidR="00154CA0">
              <w:rPr>
                <w:noProof/>
                <w:webHidden/>
              </w:rPr>
              <w:instrText xml:space="preserve"> PAGEREF _Toc89766143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33A61378" w14:textId="56A6AF04" w:rsidR="00154CA0" w:rsidRDefault="00000000">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sidR="000028B8">
              <w:rPr>
                <w:noProof/>
                <w:webHidden/>
              </w:rPr>
              <w:fldChar w:fldCharType="begin"/>
            </w:r>
            <w:r w:rsidR="00154CA0">
              <w:rPr>
                <w:noProof/>
                <w:webHidden/>
              </w:rPr>
              <w:instrText xml:space="preserve"> PAGEREF _Toc89766144 \h </w:instrText>
            </w:r>
            <w:r w:rsidR="000028B8">
              <w:rPr>
                <w:noProof/>
                <w:webHidden/>
              </w:rPr>
            </w:r>
            <w:r w:rsidR="000028B8">
              <w:rPr>
                <w:noProof/>
                <w:webHidden/>
              </w:rPr>
              <w:fldChar w:fldCharType="separate"/>
            </w:r>
            <w:r w:rsidR="004E7929">
              <w:rPr>
                <w:noProof/>
                <w:webHidden/>
              </w:rPr>
              <w:t>3</w:t>
            </w:r>
            <w:r w:rsidR="000028B8">
              <w:rPr>
                <w:noProof/>
                <w:webHidden/>
              </w:rPr>
              <w:fldChar w:fldCharType="end"/>
            </w:r>
          </w:hyperlink>
        </w:p>
        <w:p w14:paraId="0545AC8D" w14:textId="195E230E" w:rsidR="00154CA0" w:rsidRDefault="00000000">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sidR="000028B8">
              <w:rPr>
                <w:noProof/>
                <w:webHidden/>
              </w:rPr>
              <w:fldChar w:fldCharType="begin"/>
            </w:r>
            <w:r w:rsidR="00154CA0">
              <w:rPr>
                <w:noProof/>
                <w:webHidden/>
              </w:rPr>
              <w:instrText xml:space="preserve"> PAGEREF _Toc89766145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5CF95B69" w14:textId="2C709B9F" w:rsidR="00154CA0" w:rsidRDefault="00000000">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sidR="000028B8">
              <w:rPr>
                <w:noProof/>
                <w:webHidden/>
              </w:rPr>
              <w:fldChar w:fldCharType="begin"/>
            </w:r>
            <w:r w:rsidR="00154CA0">
              <w:rPr>
                <w:noProof/>
                <w:webHidden/>
              </w:rPr>
              <w:instrText xml:space="preserve"> PAGEREF _Toc89766146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6534C234" w14:textId="10D021BB" w:rsidR="00154CA0" w:rsidRDefault="00000000">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sidR="000028B8">
              <w:rPr>
                <w:noProof/>
                <w:webHidden/>
              </w:rPr>
              <w:fldChar w:fldCharType="begin"/>
            </w:r>
            <w:r w:rsidR="00154CA0">
              <w:rPr>
                <w:noProof/>
                <w:webHidden/>
              </w:rPr>
              <w:instrText xml:space="preserve"> PAGEREF _Toc89766147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340B36C8" w14:textId="7EDFAEEB" w:rsidR="00154CA0" w:rsidRDefault="00000000">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sidR="000028B8">
              <w:rPr>
                <w:noProof/>
                <w:webHidden/>
              </w:rPr>
              <w:fldChar w:fldCharType="begin"/>
            </w:r>
            <w:r w:rsidR="00154CA0">
              <w:rPr>
                <w:noProof/>
                <w:webHidden/>
              </w:rPr>
              <w:instrText xml:space="preserve"> PAGEREF _Toc89766148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2D417418" w14:textId="34684EDC" w:rsidR="00154CA0" w:rsidRDefault="00000000">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sidR="000028B8">
              <w:rPr>
                <w:noProof/>
                <w:webHidden/>
              </w:rPr>
              <w:fldChar w:fldCharType="begin"/>
            </w:r>
            <w:r w:rsidR="00154CA0">
              <w:rPr>
                <w:noProof/>
                <w:webHidden/>
              </w:rPr>
              <w:instrText xml:space="preserve"> PAGEREF _Toc89766149 \h </w:instrText>
            </w:r>
            <w:r w:rsidR="000028B8">
              <w:rPr>
                <w:noProof/>
                <w:webHidden/>
              </w:rPr>
            </w:r>
            <w:r w:rsidR="000028B8">
              <w:rPr>
                <w:noProof/>
                <w:webHidden/>
              </w:rPr>
              <w:fldChar w:fldCharType="separate"/>
            </w:r>
            <w:r w:rsidR="004E7929">
              <w:rPr>
                <w:noProof/>
                <w:webHidden/>
              </w:rPr>
              <w:t>8</w:t>
            </w:r>
            <w:r w:rsidR="000028B8">
              <w:rPr>
                <w:noProof/>
                <w:webHidden/>
              </w:rPr>
              <w:fldChar w:fldCharType="end"/>
            </w:r>
          </w:hyperlink>
        </w:p>
        <w:p w14:paraId="430F839A" w14:textId="216A145A" w:rsidR="00154CA0" w:rsidRDefault="00000000">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sidR="000028B8">
              <w:rPr>
                <w:noProof/>
                <w:webHidden/>
              </w:rPr>
              <w:fldChar w:fldCharType="begin"/>
            </w:r>
            <w:r w:rsidR="00154CA0">
              <w:rPr>
                <w:noProof/>
                <w:webHidden/>
              </w:rPr>
              <w:instrText xml:space="preserve"> PAGEREF _Toc89766150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45387E57" w14:textId="4FE42C3C" w:rsidR="00154CA0" w:rsidRDefault="00000000">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sidR="000028B8">
              <w:rPr>
                <w:noProof/>
                <w:webHidden/>
              </w:rPr>
              <w:fldChar w:fldCharType="begin"/>
            </w:r>
            <w:r w:rsidR="00154CA0">
              <w:rPr>
                <w:noProof/>
                <w:webHidden/>
              </w:rPr>
              <w:instrText xml:space="preserve"> PAGEREF _Toc89766151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2353AFD1" w14:textId="31873290" w:rsidR="00154CA0" w:rsidRDefault="00000000">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sidR="000028B8">
              <w:rPr>
                <w:noProof/>
                <w:webHidden/>
              </w:rPr>
              <w:fldChar w:fldCharType="begin"/>
            </w:r>
            <w:r w:rsidR="00154CA0">
              <w:rPr>
                <w:noProof/>
                <w:webHidden/>
              </w:rPr>
              <w:instrText xml:space="preserve"> PAGEREF _Toc89766152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5C8CA117" w14:textId="113001EA" w:rsidR="00154CA0" w:rsidRDefault="00000000">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sidR="000028B8">
              <w:rPr>
                <w:noProof/>
                <w:webHidden/>
              </w:rPr>
              <w:fldChar w:fldCharType="begin"/>
            </w:r>
            <w:r w:rsidR="00154CA0">
              <w:rPr>
                <w:noProof/>
                <w:webHidden/>
              </w:rPr>
              <w:instrText xml:space="preserve"> PAGEREF _Toc89766153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1A0CEA17" w14:textId="449CFA13" w:rsidR="00154CA0" w:rsidRDefault="00000000">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sidR="000028B8">
              <w:rPr>
                <w:noProof/>
                <w:webHidden/>
              </w:rPr>
              <w:fldChar w:fldCharType="begin"/>
            </w:r>
            <w:r w:rsidR="00154CA0">
              <w:rPr>
                <w:noProof/>
                <w:webHidden/>
              </w:rPr>
              <w:instrText xml:space="preserve"> PAGEREF _Toc89766154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7C7D3C0F" w14:textId="1065A451" w:rsidR="00154CA0" w:rsidRDefault="00000000">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sidR="000028B8">
              <w:rPr>
                <w:noProof/>
                <w:webHidden/>
              </w:rPr>
              <w:fldChar w:fldCharType="begin"/>
            </w:r>
            <w:r w:rsidR="00154CA0">
              <w:rPr>
                <w:noProof/>
                <w:webHidden/>
              </w:rPr>
              <w:instrText xml:space="preserve"> PAGEREF _Toc89766155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6B760521" w14:textId="69482CAC" w:rsidR="00154CA0" w:rsidRDefault="00000000">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sidR="000028B8">
              <w:rPr>
                <w:noProof/>
                <w:webHidden/>
              </w:rPr>
              <w:fldChar w:fldCharType="begin"/>
            </w:r>
            <w:r w:rsidR="00154CA0">
              <w:rPr>
                <w:noProof/>
                <w:webHidden/>
              </w:rPr>
              <w:instrText xml:space="preserve"> PAGEREF _Toc89766156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29AFC298" w14:textId="7F3DB1D0" w:rsidR="00154CA0" w:rsidRDefault="00000000">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sidR="000028B8">
              <w:rPr>
                <w:noProof/>
                <w:webHidden/>
              </w:rPr>
              <w:fldChar w:fldCharType="begin"/>
            </w:r>
            <w:r w:rsidR="00154CA0">
              <w:rPr>
                <w:noProof/>
                <w:webHidden/>
              </w:rPr>
              <w:instrText xml:space="preserve"> PAGEREF _Toc89766157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56C90195" w14:textId="77777777" w:rsidR="00F46719" w:rsidRDefault="000028B8">
          <w:r>
            <w:rPr>
              <w:b/>
              <w:bCs/>
              <w:lang w:val="es-ES"/>
            </w:rPr>
            <w:fldChar w:fldCharType="end"/>
          </w:r>
        </w:p>
      </w:sdtContent>
    </w:sdt>
    <w:p w14:paraId="784E8C17" w14:textId="77777777" w:rsidR="00F46719" w:rsidRPr="00E74967" w:rsidRDefault="00F46719" w:rsidP="00CB41C4">
      <w:pPr>
        <w:tabs>
          <w:tab w:val="left" w:leader="underscore" w:pos="9639"/>
        </w:tabs>
        <w:spacing w:after="0" w:line="240" w:lineRule="auto"/>
        <w:jc w:val="both"/>
        <w:rPr>
          <w:rFonts w:cs="Calibri"/>
        </w:rPr>
      </w:pPr>
    </w:p>
    <w:p w14:paraId="78613BD3" w14:textId="77777777" w:rsidR="007D1E76" w:rsidRPr="00E74967" w:rsidRDefault="007D1E76" w:rsidP="00CB41C4">
      <w:pPr>
        <w:tabs>
          <w:tab w:val="left" w:leader="underscore" w:pos="9639"/>
        </w:tabs>
        <w:spacing w:after="0" w:line="240" w:lineRule="auto"/>
        <w:jc w:val="both"/>
        <w:rPr>
          <w:rFonts w:cs="Calibri"/>
        </w:rPr>
      </w:pPr>
    </w:p>
    <w:p w14:paraId="4540F607" w14:textId="77777777"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14:paraId="682B456E" w14:textId="77777777"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F137376" w14:textId="77777777" w:rsidR="00E61A89" w:rsidRPr="00E74967" w:rsidRDefault="00E61A89" w:rsidP="00E61A89">
      <w:pPr>
        <w:tabs>
          <w:tab w:val="left" w:leader="underscore" w:pos="9639"/>
        </w:tabs>
        <w:spacing w:after="0" w:line="240" w:lineRule="auto"/>
        <w:jc w:val="both"/>
        <w:rPr>
          <w:rFonts w:cs="Calibri"/>
        </w:rPr>
      </w:pPr>
    </w:p>
    <w:p w14:paraId="0841624B"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14:paraId="4F64845A" w14:textId="12D3CA93"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w:t>
      </w:r>
      <w:r w:rsidR="007F6635">
        <w:rPr>
          <w:rFonts w:ascii="Arial" w:hAnsi="Arial" w:cs="Arial"/>
          <w:sz w:val="20"/>
          <w:szCs w:val="20"/>
        </w:rPr>
        <w:t>,</w:t>
      </w:r>
      <w:r>
        <w:rPr>
          <w:rFonts w:ascii="Arial" w:hAnsi="Arial" w:cs="Arial"/>
          <w:sz w:val="20"/>
          <w:szCs w:val="20"/>
        </w:rPr>
        <w:t>2019</w:t>
      </w:r>
      <w:r w:rsidR="007F6635">
        <w:rPr>
          <w:rFonts w:ascii="Arial" w:hAnsi="Arial" w:cs="Arial"/>
          <w:sz w:val="20"/>
          <w:szCs w:val="20"/>
        </w:rPr>
        <w:t>, 2022</w:t>
      </w:r>
      <w:r>
        <w:rPr>
          <w:rFonts w:ascii="Arial" w:hAnsi="Arial" w:cs="Arial"/>
          <w:sz w:val="20"/>
          <w:szCs w:val="20"/>
        </w:rPr>
        <w:t xml:space="preserve"> se otorgaron un total de </w:t>
      </w:r>
      <w:r w:rsidR="007F6635">
        <w:rPr>
          <w:rFonts w:ascii="Arial" w:hAnsi="Arial" w:cs="Arial"/>
          <w:sz w:val="20"/>
          <w:szCs w:val="20"/>
        </w:rPr>
        <w:t>71</w:t>
      </w:r>
      <w:r>
        <w:rPr>
          <w:rFonts w:ascii="Arial" w:hAnsi="Arial" w:cs="Arial"/>
          <w:sz w:val="20"/>
          <w:szCs w:val="20"/>
        </w:rPr>
        <w:t xml:space="preserve"> créditos de autoconstrucción; 18 créditos en el 2018 y 40 créditos en el </w:t>
      </w:r>
      <w:proofErr w:type="gramStart"/>
      <w:r>
        <w:rPr>
          <w:rFonts w:ascii="Arial" w:hAnsi="Arial" w:cs="Arial"/>
          <w:sz w:val="20"/>
          <w:szCs w:val="20"/>
        </w:rPr>
        <w:t>2019</w:t>
      </w:r>
      <w:r w:rsidR="007F6635">
        <w:rPr>
          <w:rFonts w:ascii="Arial" w:hAnsi="Arial" w:cs="Arial"/>
          <w:sz w:val="20"/>
          <w:szCs w:val="20"/>
        </w:rPr>
        <w:t xml:space="preserve">  y</w:t>
      </w:r>
      <w:proofErr w:type="gramEnd"/>
      <w:r w:rsidR="007F6635">
        <w:rPr>
          <w:rFonts w:ascii="Arial" w:hAnsi="Arial" w:cs="Arial"/>
          <w:sz w:val="20"/>
          <w:szCs w:val="20"/>
        </w:rPr>
        <w:t xml:space="preserve"> 13 créditos en este 2022</w:t>
      </w:r>
    </w:p>
    <w:p w14:paraId="5E3657DF" w14:textId="77777777" w:rsidR="00E61A89" w:rsidRDefault="00E61A89" w:rsidP="00E61A89">
      <w:pPr>
        <w:tabs>
          <w:tab w:val="left" w:leader="underscore" w:pos="9639"/>
        </w:tabs>
        <w:spacing w:after="0" w:line="240" w:lineRule="auto"/>
        <w:jc w:val="both"/>
        <w:rPr>
          <w:rFonts w:cs="Calibri"/>
        </w:rPr>
      </w:pPr>
    </w:p>
    <w:p w14:paraId="65D5E46B" w14:textId="77777777"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14:paraId="59A8D7F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727C5E" w14:textId="77777777"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6C1A0739" w14:textId="77777777" w:rsidR="00E61A89" w:rsidRPr="00BB216F" w:rsidRDefault="00E61A89" w:rsidP="00E61A89">
      <w:pPr>
        <w:spacing w:after="0" w:line="240" w:lineRule="auto"/>
        <w:jc w:val="both"/>
        <w:rPr>
          <w:rFonts w:ascii="Arial" w:hAnsi="Arial" w:cs="Arial"/>
          <w:sz w:val="20"/>
          <w:szCs w:val="20"/>
        </w:rPr>
      </w:pPr>
    </w:p>
    <w:p w14:paraId="3D94172F"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proofErr w:type="spellStart"/>
      <w:r>
        <w:rPr>
          <w:rFonts w:ascii="Arial" w:hAnsi="Arial" w:cs="Arial"/>
          <w:sz w:val="20"/>
          <w:szCs w:val="20"/>
          <w:lang w:val="es-ES"/>
        </w:rPr>
        <w:t>mas</w:t>
      </w:r>
      <w:proofErr w:type="spellEnd"/>
      <w:r>
        <w:rPr>
          <w:rFonts w:ascii="Arial" w:hAnsi="Arial" w:cs="Arial"/>
          <w:sz w:val="20"/>
          <w:szCs w:val="20"/>
          <w:lang w:val="es-ES"/>
        </w:rPr>
        <w:t xml:space="preserve">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 </w:t>
      </w:r>
    </w:p>
    <w:p w14:paraId="754A3B1D" w14:textId="77777777" w:rsidR="00E61A89" w:rsidRDefault="00E61A89" w:rsidP="00E61A89">
      <w:pPr>
        <w:spacing w:after="0" w:line="240" w:lineRule="auto"/>
        <w:jc w:val="both"/>
        <w:rPr>
          <w:rFonts w:ascii="Arial" w:hAnsi="Arial" w:cs="Arial"/>
          <w:sz w:val="20"/>
          <w:szCs w:val="20"/>
          <w:lang w:val="es-ES"/>
        </w:rPr>
      </w:pPr>
    </w:p>
    <w:p w14:paraId="3BCACDF5"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6E4C04BF" w14:textId="77777777" w:rsidR="00E61A89" w:rsidRPr="00BB216F" w:rsidRDefault="00E61A89" w:rsidP="00E61A89">
      <w:pPr>
        <w:spacing w:after="0" w:line="240" w:lineRule="auto"/>
        <w:jc w:val="both"/>
        <w:rPr>
          <w:rFonts w:ascii="Arial" w:hAnsi="Arial" w:cs="Arial"/>
          <w:sz w:val="20"/>
          <w:szCs w:val="20"/>
          <w:lang w:val="es-ES"/>
        </w:rPr>
      </w:pPr>
    </w:p>
    <w:p w14:paraId="755EFDEF" w14:textId="5DEC28E7" w:rsidR="00E61A89" w:rsidRDefault="00E61A89" w:rsidP="00E61A89">
      <w:pPr>
        <w:spacing w:after="0" w:line="240" w:lineRule="auto"/>
        <w:jc w:val="both"/>
        <w:rPr>
          <w:rFonts w:ascii="Arial" w:hAnsi="Arial" w:cs="Arial"/>
          <w:sz w:val="20"/>
          <w:szCs w:val="20"/>
        </w:rPr>
      </w:pPr>
      <w:r>
        <w:rPr>
          <w:rFonts w:ascii="Arial" w:hAnsi="Arial" w:cs="Arial"/>
          <w:sz w:val="20"/>
          <w:szCs w:val="20"/>
        </w:rPr>
        <w:t>En este ejercicio 202</w:t>
      </w:r>
      <w:r w:rsidR="0041448F">
        <w:rPr>
          <w:rFonts w:ascii="Arial" w:hAnsi="Arial" w:cs="Arial"/>
          <w:sz w:val="20"/>
          <w:szCs w:val="20"/>
        </w:rPr>
        <w:t>3</w:t>
      </w:r>
      <w:r>
        <w:rPr>
          <w:rFonts w:ascii="Arial" w:hAnsi="Arial" w:cs="Arial"/>
          <w:sz w:val="20"/>
          <w:szCs w:val="20"/>
        </w:rPr>
        <w:t xml:space="preserve"> no se ha recibido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4534BE9A" w14:textId="77777777" w:rsidR="00E61A89" w:rsidRPr="00E74967" w:rsidRDefault="00E61A89" w:rsidP="00E61A89">
      <w:pPr>
        <w:spacing w:after="0" w:line="240" w:lineRule="auto"/>
        <w:jc w:val="both"/>
        <w:rPr>
          <w:rFonts w:cs="Calibri"/>
        </w:rPr>
      </w:pPr>
    </w:p>
    <w:p w14:paraId="1380F6A2" w14:textId="77777777"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14:paraId="558272C7" w14:textId="77777777" w:rsidR="00E61A89" w:rsidRPr="00E74967" w:rsidRDefault="00E61A89" w:rsidP="00E61A89">
      <w:pPr>
        <w:tabs>
          <w:tab w:val="left" w:leader="underscore" w:pos="9639"/>
        </w:tabs>
        <w:spacing w:after="0" w:line="240" w:lineRule="auto"/>
        <w:jc w:val="both"/>
        <w:rPr>
          <w:rFonts w:cs="Calibri"/>
        </w:rPr>
      </w:pPr>
    </w:p>
    <w:p w14:paraId="087A12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E25EE3B" w14:textId="77777777" w:rsidR="00E61A89" w:rsidRPr="00E74967" w:rsidRDefault="00E61A89" w:rsidP="00E61A89">
      <w:pPr>
        <w:tabs>
          <w:tab w:val="left" w:leader="underscore" w:pos="9639"/>
        </w:tabs>
        <w:spacing w:after="0" w:line="240" w:lineRule="auto"/>
        <w:jc w:val="both"/>
        <w:rPr>
          <w:rFonts w:cs="Calibri"/>
        </w:rPr>
      </w:pPr>
    </w:p>
    <w:p w14:paraId="20312CD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9913089" w14:textId="77777777"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14:paraId="71FFACBE" w14:textId="77777777" w:rsidR="00E61A89" w:rsidRPr="007D3CA4" w:rsidRDefault="00E61A89" w:rsidP="00E61A89">
      <w:pPr>
        <w:tabs>
          <w:tab w:val="left" w:leader="underscore" w:pos="9639"/>
        </w:tabs>
        <w:spacing w:after="0" w:line="240" w:lineRule="auto"/>
        <w:jc w:val="both"/>
        <w:rPr>
          <w:rFonts w:cs="Calibri"/>
          <w:lang w:val="es-ES"/>
        </w:rPr>
      </w:pPr>
    </w:p>
    <w:p w14:paraId="7892DEF8" w14:textId="77777777" w:rsidR="00E61A89" w:rsidRPr="00E74967" w:rsidRDefault="00E61A89" w:rsidP="00E61A89">
      <w:pPr>
        <w:tabs>
          <w:tab w:val="left" w:leader="underscore" w:pos="9639"/>
        </w:tabs>
        <w:spacing w:after="0" w:line="240" w:lineRule="auto"/>
        <w:jc w:val="both"/>
        <w:rPr>
          <w:rFonts w:cs="Calibri"/>
        </w:rPr>
      </w:pPr>
    </w:p>
    <w:p w14:paraId="3580CA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8DDCFB4" w14:textId="77777777"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lastRenderedPageBreak/>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 xml:space="preserve">VII, en el que se propone de entre otros cambios, los ajustes a la Estructura Orgánica del Instituto dada la operatividad </w:t>
      </w:r>
      <w:proofErr w:type="gramStart"/>
      <w:r w:rsidRPr="00BB216F">
        <w:rPr>
          <w:rFonts w:ascii="Arial" w:hAnsi="Arial" w:cs="Arial"/>
          <w:bCs/>
          <w:sz w:val="20"/>
          <w:szCs w:val="20"/>
        </w:rPr>
        <w:t>del mismo</w:t>
      </w:r>
      <w:proofErr w:type="gramEnd"/>
      <w:r w:rsidRPr="00BB216F">
        <w:rPr>
          <w:rFonts w:ascii="Arial" w:hAnsi="Arial" w:cs="Arial"/>
          <w:bCs/>
          <w:sz w:val="20"/>
          <w:szCs w:val="20"/>
        </w:rPr>
        <w:t xml:space="preserve"> y en atención a la nueva Ley de Vivienda en el Estado. El Reglamento Interno fue turnado para su análisis y aprobación del Honorable Ayuntamiento en fecha 25 de agosto del 2009</w:t>
      </w:r>
    </w:p>
    <w:p w14:paraId="6075FD29" w14:textId="77777777"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297E06C1" w14:textId="77777777" w:rsidR="00E61A89" w:rsidRPr="00E74967" w:rsidRDefault="00E61A89" w:rsidP="00E61A89">
      <w:pPr>
        <w:tabs>
          <w:tab w:val="left" w:leader="underscore" w:pos="9639"/>
        </w:tabs>
        <w:spacing w:after="0" w:line="240" w:lineRule="auto"/>
        <w:jc w:val="both"/>
        <w:rPr>
          <w:rFonts w:cs="Calibri"/>
        </w:rPr>
      </w:pPr>
    </w:p>
    <w:p w14:paraId="62D5F36D" w14:textId="77777777"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14:paraId="44E88A38" w14:textId="77777777" w:rsidR="00E61A89" w:rsidRPr="00E74967" w:rsidRDefault="00E61A89" w:rsidP="00E61A89">
      <w:pPr>
        <w:tabs>
          <w:tab w:val="left" w:leader="underscore" w:pos="9639"/>
        </w:tabs>
        <w:spacing w:after="0" w:line="240" w:lineRule="auto"/>
        <w:jc w:val="both"/>
        <w:rPr>
          <w:rFonts w:cs="Calibri"/>
        </w:rPr>
      </w:pPr>
    </w:p>
    <w:p w14:paraId="280B563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55F76DF2" w14:textId="77777777" w:rsidR="00E61A89" w:rsidRPr="00E74967" w:rsidRDefault="00E61A89" w:rsidP="00E61A89">
      <w:pPr>
        <w:tabs>
          <w:tab w:val="left" w:leader="underscore" w:pos="9639"/>
        </w:tabs>
        <w:spacing w:after="0" w:line="240" w:lineRule="auto"/>
        <w:jc w:val="both"/>
        <w:rPr>
          <w:rFonts w:cs="Calibri"/>
        </w:rPr>
      </w:pPr>
    </w:p>
    <w:p w14:paraId="1041C15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A2298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 Establecer, promover y llevar a cabo programas de vivienda, para que las familias de escasos recursos </w:t>
      </w:r>
      <w:proofErr w:type="gramStart"/>
      <w:r w:rsidRPr="00BB216F">
        <w:rPr>
          <w:rFonts w:ascii="Arial" w:hAnsi="Arial" w:cs="Arial"/>
          <w:sz w:val="20"/>
          <w:szCs w:val="20"/>
        </w:rPr>
        <w:t>económicos,</w:t>
      </w:r>
      <w:proofErr w:type="gramEnd"/>
      <w:r w:rsidRPr="00BB216F">
        <w:rPr>
          <w:rFonts w:ascii="Arial" w:hAnsi="Arial" w:cs="Arial"/>
          <w:sz w:val="20"/>
          <w:szCs w:val="20"/>
        </w:rPr>
        <w:t xml:space="preserve"> puedan adquirir, mejorar o auto construir su vivienda;</w:t>
      </w:r>
    </w:p>
    <w:p w14:paraId="7920D9F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 xml:space="preserve">II. Establecer en coordinación con las Dependencias Municipales competentes, en el marco del Plan de Desarrollo </w:t>
      </w:r>
      <w:proofErr w:type="gramStart"/>
      <w:r w:rsidRPr="00BB216F">
        <w:rPr>
          <w:rFonts w:ascii="Arial" w:hAnsi="Arial" w:cs="Arial"/>
          <w:sz w:val="20"/>
          <w:szCs w:val="20"/>
        </w:rPr>
        <w:t>Municipal</w:t>
      </w:r>
      <w:proofErr w:type="gramEnd"/>
      <w:r w:rsidRPr="00BB216F">
        <w:rPr>
          <w:rFonts w:ascii="Arial" w:hAnsi="Arial" w:cs="Arial"/>
          <w:sz w:val="20"/>
          <w:szCs w:val="20"/>
        </w:rPr>
        <w:t xml:space="preserve"> así como del Plan de Gobierno Municipal, las políticas de inversión pública en materia de vivienda;</w:t>
      </w:r>
    </w:p>
    <w:p w14:paraId="7C57C1F5"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4DB8C85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44EB9B6F"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1DB6D0A3"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96EB27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76C244D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15D8E23A" w14:textId="77777777" w:rsidR="00E61A89" w:rsidRPr="00E74967" w:rsidRDefault="00E61A89" w:rsidP="00E61A89">
      <w:pPr>
        <w:tabs>
          <w:tab w:val="left" w:leader="underscore" w:pos="9639"/>
        </w:tabs>
        <w:spacing w:after="0" w:line="240" w:lineRule="auto"/>
        <w:jc w:val="both"/>
        <w:rPr>
          <w:rFonts w:cs="Calibri"/>
        </w:rPr>
      </w:pPr>
    </w:p>
    <w:p w14:paraId="3C6B7C00" w14:textId="77777777" w:rsidR="00E61A89" w:rsidRPr="00E74967" w:rsidRDefault="00E61A89" w:rsidP="00E61A89">
      <w:pPr>
        <w:tabs>
          <w:tab w:val="left" w:leader="underscore" w:pos="9639"/>
        </w:tabs>
        <w:spacing w:after="0" w:line="240" w:lineRule="auto"/>
        <w:jc w:val="both"/>
        <w:rPr>
          <w:rFonts w:cs="Calibri"/>
        </w:rPr>
      </w:pPr>
    </w:p>
    <w:p w14:paraId="0280D6E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3C2348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14:paraId="6C656D71"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0A246F75" w14:textId="77777777" w:rsidR="00E61A89" w:rsidRPr="00E74967" w:rsidRDefault="00E61A89" w:rsidP="00E61A89">
      <w:pPr>
        <w:tabs>
          <w:tab w:val="left" w:leader="underscore" w:pos="9639"/>
        </w:tabs>
        <w:spacing w:after="0" w:line="240" w:lineRule="auto"/>
        <w:jc w:val="both"/>
        <w:rPr>
          <w:rFonts w:cs="Calibri"/>
        </w:rPr>
      </w:pPr>
    </w:p>
    <w:p w14:paraId="32D4821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D8F9B1A" w14:textId="54A52A45" w:rsidR="00E61A89" w:rsidRDefault="00E61A89" w:rsidP="00E61A89">
      <w:pPr>
        <w:jc w:val="both"/>
        <w:rPr>
          <w:rFonts w:ascii="Arial" w:hAnsi="Arial" w:cs="Arial"/>
          <w:sz w:val="20"/>
          <w:szCs w:val="20"/>
        </w:rPr>
      </w:pPr>
      <w:r>
        <w:rPr>
          <w:rFonts w:ascii="Arial" w:hAnsi="Arial" w:cs="Arial"/>
          <w:sz w:val="20"/>
          <w:szCs w:val="20"/>
        </w:rPr>
        <w:t xml:space="preserve">Enero </w:t>
      </w:r>
      <w:r w:rsidR="0041448F">
        <w:rPr>
          <w:rFonts w:ascii="Arial" w:hAnsi="Arial" w:cs="Arial"/>
          <w:sz w:val="20"/>
          <w:szCs w:val="20"/>
        </w:rPr>
        <w:t>a</w:t>
      </w:r>
      <w:r w:rsidR="00621D2C">
        <w:rPr>
          <w:rFonts w:ascii="Arial" w:hAnsi="Arial" w:cs="Arial"/>
          <w:sz w:val="20"/>
          <w:szCs w:val="20"/>
        </w:rPr>
        <w:t xml:space="preserve"> </w:t>
      </w:r>
      <w:proofErr w:type="gramStart"/>
      <w:r w:rsidR="00621D2C">
        <w:rPr>
          <w:rFonts w:ascii="Arial" w:hAnsi="Arial" w:cs="Arial"/>
          <w:sz w:val="20"/>
          <w:szCs w:val="20"/>
        </w:rPr>
        <w:t>Septiembre</w:t>
      </w:r>
      <w:proofErr w:type="gramEnd"/>
      <w:r w:rsidR="0041448F">
        <w:rPr>
          <w:rFonts w:ascii="Arial" w:hAnsi="Arial" w:cs="Arial"/>
          <w:sz w:val="20"/>
          <w:szCs w:val="20"/>
        </w:rPr>
        <w:t xml:space="preserve"> 2023</w:t>
      </w:r>
    </w:p>
    <w:p w14:paraId="293DF9C1" w14:textId="77777777" w:rsidR="00E61A89" w:rsidRPr="00BB216F" w:rsidRDefault="00E61A89" w:rsidP="00E61A89">
      <w:pPr>
        <w:jc w:val="both"/>
        <w:rPr>
          <w:rFonts w:ascii="Arial" w:hAnsi="Arial" w:cs="Arial"/>
          <w:sz w:val="20"/>
          <w:szCs w:val="20"/>
        </w:rPr>
      </w:pPr>
    </w:p>
    <w:p w14:paraId="49A33BA0" w14:textId="77777777" w:rsidR="00E61A89" w:rsidRPr="00E74967" w:rsidRDefault="00E61A89" w:rsidP="00E61A89">
      <w:pPr>
        <w:tabs>
          <w:tab w:val="left" w:leader="underscore" w:pos="9639"/>
        </w:tabs>
        <w:spacing w:after="0" w:line="240" w:lineRule="auto"/>
        <w:jc w:val="both"/>
        <w:rPr>
          <w:rFonts w:cs="Calibri"/>
        </w:rPr>
      </w:pPr>
    </w:p>
    <w:p w14:paraId="16335327" w14:textId="77777777"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4A09B378" w14:textId="1A5C7A5A" w:rsidR="00E61A89" w:rsidRDefault="00E61A89" w:rsidP="007F6635">
      <w:pPr>
        <w:tabs>
          <w:tab w:val="left" w:pos="5805"/>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r w:rsidR="007F6635">
        <w:rPr>
          <w:rFonts w:cs="Calibri"/>
          <w:b/>
        </w:rPr>
        <w:tab/>
      </w:r>
    </w:p>
    <w:p w14:paraId="7136D430" w14:textId="77777777" w:rsidR="00E61A89" w:rsidRDefault="00E61A89" w:rsidP="00E61A89">
      <w:pPr>
        <w:tabs>
          <w:tab w:val="left" w:leader="underscore" w:pos="9639"/>
        </w:tabs>
        <w:spacing w:after="0" w:line="240" w:lineRule="auto"/>
        <w:jc w:val="both"/>
        <w:rPr>
          <w:rFonts w:cs="Calibri"/>
          <w:b/>
        </w:rPr>
      </w:pPr>
    </w:p>
    <w:p w14:paraId="5F772E38" w14:textId="77777777"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7A35130D" w14:textId="77777777" w:rsidR="00E61A89" w:rsidRPr="00E74967" w:rsidRDefault="00E61A89" w:rsidP="00E61A89">
      <w:pPr>
        <w:tabs>
          <w:tab w:val="left" w:leader="underscore" w:pos="9639"/>
        </w:tabs>
        <w:spacing w:after="0" w:line="240" w:lineRule="auto"/>
        <w:jc w:val="both"/>
        <w:rPr>
          <w:rFonts w:cs="Calibri"/>
        </w:rPr>
      </w:pPr>
    </w:p>
    <w:p w14:paraId="6128CB76"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751263E0"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14:paraId="5D8E8BCC"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40960207"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p>
    <w:p w14:paraId="55D8961E"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103D2FD" w14:textId="77777777" w:rsidR="00E61A89" w:rsidRPr="00E74967" w:rsidRDefault="00E61A89" w:rsidP="00E61A89">
      <w:pPr>
        <w:tabs>
          <w:tab w:val="left" w:leader="underscore" w:pos="9639"/>
        </w:tabs>
        <w:spacing w:after="0" w:line="240" w:lineRule="auto"/>
        <w:jc w:val="both"/>
        <w:rPr>
          <w:rFonts w:cs="Calibri"/>
        </w:rPr>
      </w:pPr>
    </w:p>
    <w:p w14:paraId="3AC228CD" w14:textId="77777777"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A401BC" w14:textId="77777777" w:rsidR="00E61A89" w:rsidRPr="00E74967" w:rsidRDefault="00E61A89" w:rsidP="00E61A89">
      <w:pPr>
        <w:tabs>
          <w:tab w:val="left" w:leader="underscore" w:pos="9639"/>
        </w:tabs>
        <w:spacing w:after="0" w:line="240" w:lineRule="auto"/>
        <w:jc w:val="both"/>
        <w:rPr>
          <w:rFonts w:cs="Calibri"/>
        </w:rPr>
      </w:pPr>
    </w:p>
    <w:p w14:paraId="3FE36B27" w14:textId="77777777" w:rsidR="00E61A89" w:rsidRPr="00A06487" w:rsidRDefault="00E61A89" w:rsidP="00E61A89">
      <w:pPr>
        <w:tabs>
          <w:tab w:val="left" w:leader="underscore" w:pos="9639"/>
        </w:tabs>
        <w:spacing w:after="0" w:line="240" w:lineRule="auto"/>
        <w:jc w:val="both"/>
        <w:rPr>
          <w:rFonts w:cs="Calibri"/>
        </w:rPr>
      </w:pPr>
    </w:p>
    <w:p w14:paraId="1292998D" w14:textId="77777777"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14:anchorId="579892DC" wp14:editId="1346DDB6">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14:paraId="1D197CA8" w14:textId="77777777" w:rsidR="00E61A89" w:rsidRDefault="00E61A89" w:rsidP="00E61A89">
      <w:pPr>
        <w:tabs>
          <w:tab w:val="left" w:leader="underscore" w:pos="9639"/>
        </w:tabs>
        <w:spacing w:after="0" w:line="240" w:lineRule="auto"/>
        <w:jc w:val="both"/>
        <w:rPr>
          <w:rFonts w:cs="Calibri"/>
          <w:b/>
        </w:rPr>
      </w:pPr>
    </w:p>
    <w:p w14:paraId="75D008FA" w14:textId="77777777" w:rsidR="00E61A89" w:rsidRDefault="00E61A89" w:rsidP="00E61A89">
      <w:pPr>
        <w:tabs>
          <w:tab w:val="left" w:leader="underscore" w:pos="9639"/>
        </w:tabs>
        <w:spacing w:after="0" w:line="240" w:lineRule="auto"/>
        <w:jc w:val="both"/>
        <w:rPr>
          <w:rFonts w:cs="Calibri"/>
          <w:b/>
        </w:rPr>
      </w:pPr>
    </w:p>
    <w:p w14:paraId="48F557C1" w14:textId="77777777" w:rsidR="00E61A89" w:rsidRDefault="00E61A89" w:rsidP="00E61A89">
      <w:pPr>
        <w:tabs>
          <w:tab w:val="left" w:leader="underscore" w:pos="9639"/>
        </w:tabs>
        <w:spacing w:after="0" w:line="240" w:lineRule="auto"/>
        <w:jc w:val="both"/>
        <w:rPr>
          <w:rFonts w:cs="Calibri"/>
          <w:b/>
        </w:rPr>
      </w:pPr>
    </w:p>
    <w:p w14:paraId="0734678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07536F0" w14:textId="77777777"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t>No Aplica</w:t>
      </w:r>
    </w:p>
    <w:p w14:paraId="2BC936D5" w14:textId="77777777" w:rsidR="00E61A89" w:rsidRDefault="00E61A89" w:rsidP="00E61A89">
      <w:pPr>
        <w:tabs>
          <w:tab w:val="left" w:leader="underscore" w:pos="9639"/>
        </w:tabs>
        <w:spacing w:after="0" w:line="240" w:lineRule="auto"/>
        <w:jc w:val="both"/>
        <w:rPr>
          <w:rFonts w:cs="Calibri"/>
        </w:rPr>
      </w:pPr>
    </w:p>
    <w:p w14:paraId="61495235" w14:textId="77777777" w:rsidR="00E61A89" w:rsidRPr="00E74967" w:rsidRDefault="00E61A89" w:rsidP="00E61A89">
      <w:pPr>
        <w:tabs>
          <w:tab w:val="left" w:leader="underscore" w:pos="9639"/>
        </w:tabs>
        <w:spacing w:after="0" w:line="240" w:lineRule="auto"/>
        <w:jc w:val="both"/>
        <w:rPr>
          <w:rFonts w:cs="Calibri"/>
        </w:rPr>
      </w:pPr>
    </w:p>
    <w:p w14:paraId="54E3B5E0" w14:textId="77777777"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lastRenderedPageBreak/>
        <w:t>5. Bases de Preparación de los Estados Financieros:</w:t>
      </w:r>
      <w:bookmarkEnd w:id="4"/>
    </w:p>
    <w:p w14:paraId="3EC522D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2BD6BBD2" w14:textId="77777777" w:rsidR="00E61A89" w:rsidRPr="00E74967" w:rsidRDefault="00E61A89" w:rsidP="00E61A89">
      <w:pPr>
        <w:tabs>
          <w:tab w:val="left" w:leader="underscore" w:pos="9639"/>
        </w:tabs>
        <w:spacing w:after="0" w:line="240" w:lineRule="auto"/>
        <w:jc w:val="both"/>
        <w:rPr>
          <w:rFonts w:cs="Calibri"/>
        </w:rPr>
      </w:pPr>
    </w:p>
    <w:p w14:paraId="67F02AB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proofErr w:type="gramStart"/>
      <w:r>
        <w:rPr>
          <w:rFonts w:cs="Calibri"/>
        </w:rPr>
        <w:t xml:space="preserve">Se </w:t>
      </w:r>
      <w:r w:rsidRPr="00E74967">
        <w:rPr>
          <w:rFonts w:cs="Calibri"/>
        </w:rPr>
        <w:t xml:space="preserve"> ha</w:t>
      </w:r>
      <w:proofErr w:type="gramEnd"/>
      <w:r w:rsidRPr="00E74967">
        <w:rPr>
          <w:rFonts w:cs="Calibri"/>
        </w:rPr>
        <w:t xml:space="preserve"> observado la normatividad emitida por el CONAC</w:t>
      </w:r>
      <w:r>
        <w:rPr>
          <w:rFonts w:cs="Calibri"/>
        </w:rPr>
        <w:t>, LDF</w:t>
      </w:r>
      <w:r w:rsidRPr="00E74967">
        <w:rPr>
          <w:rFonts w:cs="Calibri"/>
        </w:rPr>
        <w:t xml:space="preserve"> y las disposiciones legales aplicables.</w:t>
      </w:r>
    </w:p>
    <w:p w14:paraId="03A3E7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1EE5F7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70D19C9D"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34723650" w14:textId="77777777" w:rsidR="00E61A89" w:rsidRPr="00E74967" w:rsidRDefault="00E61A89" w:rsidP="00E61A89">
      <w:pPr>
        <w:tabs>
          <w:tab w:val="left" w:leader="underscore" w:pos="9639"/>
        </w:tabs>
        <w:spacing w:after="0" w:line="240" w:lineRule="auto"/>
        <w:jc w:val="both"/>
        <w:rPr>
          <w:rFonts w:cs="Calibri"/>
        </w:rPr>
      </w:pPr>
    </w:p>
    <w:p w14:paraId="1C9A578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E74967">
        <w:rPr>
          <w:rFonts w:cs="Calibri"/>
        </w:rPr>
        <w:t>los mismos</w:t>
      </w:r>
      <w:proofErr w:type="gramEnd"/>
      <w:r w:rsidRPr="00E74967">
        <w:rPr>
          <w:rFonts w:cs="Calibri"/>
        </w:rPr>
        <w:t>.</w:t>
      </w:r>
    </w:p>
    <w:p w14:paraId="681CC64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32EFBC1B" w14:textId="77777777" w:rsidR="00E61A89" w:rsidRPr="00E74967" w:rsidRDefault="00E61A89" w:rsidP="00E61A89">
      <w:pPr>
        <w:tabs>
          <w:tab w:val="left" w:leader="underscore" w:pos="9639"/>
        </w:tabs>
        <w:spacing w:after="0" w:line="240" w:lineRule="auto"/>
        <w:jc w:val="both"/>
        <w:rPr>
          <w:rFonts w:cs="Calibri"/>
        </w:rPr>
      </w:pPr>
    </w:p>
    <w:p w14:paraId="32102CA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18CE7A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9F5F8A" w14:textId="77777777" w:rsidR="00E61A89" w:rsidRPr="00E74967" w:rsidRDefault="00E61A89" w:rsidP="00E61A89">
      <w:pPr>
        <w:tabs>
          <w:tab w:val="left" w:leader="underscore" w:pos="9639"/>
        </w:tabs>
        <w:spacing w:after="0" w:line="240" w:lineRule="auto"/>
        <w:jc w:val="both"/>
        <w:rPr>
          <w:rFonts w:cs="Calibri"/>
        </w:rPr>
      </w:pPr>
    </w:p>
    <w:p w14:paraId="4E20E642" w14:textId="77777777" w:rsidR="00E61A89" w:rsidRPr="00E74967" w:rsidRDefault="00E61A89" w:rsidP="00E61A89">
      <w:pPr>
        <w:tabs>
          <w:tab w:val="left" w:leader="underscore" w:pos="9639"/>
        </w:tabs>
        <w:spacing w:after="0" w:line="240" w:lineRule="auto"/>
        <w:jc w:val="both"/>
        <w:rPr>
          <w:rFonts w:cs="Calibri"/>
        </w:rPr>
      </w:pPr>
    </w:p>
    <w:p w14:paraId="5F2E437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CE050F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148E771C" w14:textId="77777777" w:rsidR="00E61A89" w:rsidRPr="00E74967" w:rsidRDefault="00E61A89" w:rsidP="00E61A89">
      <w:pPr>
        <w:tabs>
          <w:tab w:val="left" w:leader="underscore" w:pos="9639"/>
        </w:tabs>
        <w:spacing w:after="0" w:line="240" w:lineRule="auto"/>
        <w:jc w:val="both"/>
        <w:rPr>
          <w:rFonts w:cs="Calibri"/>
        </w:rPr>
      </w:pPr>
    </w:p>
    <w:p w14:paraId="387C382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1083E95F" w14:textId="77777777" w:rsidR="00E61A89" w:rsidRPr="00E74967" w:rsidRDefault="00E61A89" w:rsidP="00E61A89">
      <w:pPr>
        <w:tabs>
          <w:tab w:val="left" w:leader="underscore" w:pos="9639"/>
        </w:tabs>
        <w:spacing w:after="0" w:line="240" w:lineRule="auto"/>
        <w:jc w:val="both"/>
        <w:rPr>
          <w:rFonts w:cs="Calibri"/>
        </w:rPr>
      </w:pPr>
    </w:p>
    <w:p w14:paraId="2F9C9EE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14:paraId="2687EE83"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7D5EA16" w14:textId="77777777" w:rsidR="00E61A89" w:rsidRPr="00E74967" w:rsidRDefault="00E61A89" w:rsidP="00E61A89">
      <w:pPr>
        <w:tabs>
          <w:tab w:val="left" w:leader="underscore" w:pos="9639"/>
        </w:tabs>
        <w:spacing w:after="0" w:line="240" w:lineRule="auto"/>
        <w:jc w:val="both"/>
        <w:rPr>
          <w:rFonts w:cs="Calibri"/>
        </w:rPr>
      </w:pPr>
    </w:p>
    <w:p w14:paraId="7482274E" w14:textId="77777777" w:rsidR="00E61A89" w:rsidRPr="00E74967" w:rsidRDefault="00E61A89" w:rsidP="00E61A89">
      <w:pPr>
        <w:tabs>
          <w:tab w:val="left" w:leader="underscore" w:pos="9639"/>
        </w:tabs>
        <w:spacing w:after="0" w:line="240" w:lineRule="auto"/>
        <w:jc w:val="both"/>
        <w:rPr>
          <w:rFonts w:cs="Calibri"/>
        </w:rPr>
      </w:pPr>
    </w:p>
    <w:p w14:paraId="402AC8F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14:paraId="446C2EF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521937" w14:textId="77777777" w:rsidR="00E61A89" w:rsidRPr="00E74967" w:rsidRDefault="00E61A89" w:rsidP="00E61A89">
      <w:pPr>
        <w:tabs>
          <w:tab w:val="left" w:leader="underscore" w:pos="9639"/>
        </w:tabs>
        <w:spacing w:after="0" w:line="240" w:lineRule="auto"/>
        <w:jc w:val="both"/>
        <w:rPr>
          <w:rFonts w:cs="Calibri"/>
        </w:rPr>
      </w:pPr>
    </w:p>
    <w:p w14:paraId="399E0CE7" w14:textId="77777777" w:rsidR="00E61A89" w:rsidRPr="00E74967" w:rsidRDefault="00E61A89" w:rsidP="00E61A89">
      <w:pPr>
        <w:tabs>
          <w:tab w:val="left" w:leader="underscore" w:pos="9639"/>
        </w:tabs>
        <w:spacing w:after="0" w:line="240" w:lineRule="auto"/>
        <w:jc w:val="both"/>
        <w:rPr>
          <w:rFonts w:cs="Calibri"/>
        </w:rPr>
      </w:pPr>
    </w:p>
    <w:p w14:paraId="7F61BD0D"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 xml:space="preserve">*Revelar los cambios en las políticas, la clasificación y medición de </w:t>
      </w:r>
      <w:proofErr w:type="gramStart"/>
      <w:r w:rsidRPr="00E74967">
        <w:rPr>
          <w:rFonts w:cs="Calibri"/>
        </w:rPr>
        <w:t>las mismas</w:t>
      </w:r>
      <w:proofErr w:type="gramEnd"/>
      <w:r w:rsidRPr="00E74967">
        <w:rPr>
          <w:rFonts w:cs="Calibri"/>
        </w:rPr>
        <w:t>, así como su impacto en la información financiera:</w:t>
      </w:r>
    </w:p>
    <w:p w14:paraId="639E92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560B566" w14:textId="77777777" w:rsidR="00E61A89" w:rsidRPr="00E74967" w:rsidRDefault="00E61A89" w:rsidP="00E61A89">
      <w:pPr>
        <w:tabs>
          <w:tab w:val="left" w:leader="underscore" w:pos="9639"/>
        </w:tabs>
        <w:spacing w:after="0" w:line="240" w:lineRule="auto"/>
        <w:jc w:val="both"/>
        <w:rPr>
          <w:rFonts w:cs="Calibri"/>
        </w:rPr>
      </w:pPr>
    </w:p>
    <w:p w14:paraId="7A1BE0D2" w14:textId="77777777" w:rsidR="00E61A89" w:rsidRPr="00E74967" w:rsidRDefault="00E61A89" w:rsidP="00E61A89">
      <w:pPr>
        <w:tabs>
          <w:tab w:val="left" w:leader="underscore" w:pos="9639"/>
        </w:tabs>
        <w:spacing w:after="0" w:line="240" w:lineRule="auto"/>
        <w:jc w:val="both"/>
        <w:rPr>
          <w:rFonts w:cs="Calibri"/>
        </w:rPr>
      </w:pPr>
    </w:p>
    <w:p w14:paraId="1A8CBF2B" w14:textId="77777777"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t>6. Políticas de Contabilidad Significativas:</w:t>
      </w:r>
      <w:bookmarkEnd w:id="5"/>
    </w:p>
    <w:p w14:paraId="248E973C" w14:textId="77777777" w:rsidR="00E61A89" w:rsidRPr="00E74967" w:rsidRDefault="00E61A89" w:rsidP="00E61A89">
      <w:pPr>
        <w:tabs>
          <w:tab w:val="left" w:leader="underscore" w:pos="9639"/>
        </w:tabs>
        <w:spacing w:after="0" w:line="240" w:lineRule="auto"/>
        <w:jc w:val="both"/>
        <w:rPr>
          <w:rFonts w:cs="Calibri"/>
        </w:rPr>
      </w:pPr>
    </w:p>
    <w:p w14:paraId="0D4C9E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F6E6B6B" w14:textId="77777777" w:rsidR="00E61A89" w:rsidRPr="00E74967" w:rsidRDefault="00E61A89" w:rsidP="00E61A89">
      <w:pPr>
        <w:tabs>
          <w:tab w:val="left" w:leader="underscore" w:pos="9639"/>
        </w:tabs>
        <w:spacing w:after="0" w:line="240" w:lineRule="auto"/>
        <w:jc w:val="both"/>
        <w:rPr>
          <w:rFonts w:cs="Calibri"/>
        </w:rPr>
      </w:pPr>
    </w:p>
    <w:p w14:paraId="5A1BB50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3FD6AA4"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5BF11B40" w14:textId="77777777" w:rsidR="00E61A89" w:rsidRPr="00E74967" w:rsidRDefault="00E61A89" w:rsidP="00E61A89">
      <w:pPr>
        <w:tabs>
          <w:tab w:val="left" w:leader="underscore" w:pos="9639"/>
        </w:tabs>
        <w:spacing w:after="0" w:line="240" w:lineRule="auto"/>
        <w:jc w:val="both"/>
        <w:rPr>
          <w:rFonts w:cs="Calibri"/>
        </w:rPr>
      </w:pPr>
    </w:p>
    <w:p w14:paraId="4BAF41E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D7F80ED"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F81C74F" w14:textId="77777777" w:rsidR="00E61A89" w:rsidRPr="00E74967" w:rsidRDefault="00E61A89" w:rsidP="00E61A89">
      <w:pPr>
        <w:tabs>
          <w:tab w:val="left" w:leader="underscore" w:pos="9639"/>
        </w:tabs>
        <w:spacing w:after="0" w:line="240" w:lineRule="auto"/>
        <w:jc w:val="both"/>
        <w:rPr>
          <w:rFonts w:cs="Calibri"/>
        </w:rPr>
      </w:pPr>
    </w:p>
    <w:p w14:paraId="70C7F8E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2A51355"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51E37420" w14:textId="77777777" w:rsidR="00E61A89" w:rsidRPr="00E74967" w:rsidRDefault="00E61A89" w:rsidP="00E61A89">
      <w:pPr>
        <w:tabs>
          <w:tab w:val="left" w:leader="underscore" w:pos="9639"/>
        </w:tabs>
        <w:spacing w:after="0" w:line="240" w:lineRule="auto"/>
        <w:jc w:val="both"/>
        <w:rPr>
          <w:rFonts w:cs="Calibri"/>
        </w:rPr>
      </w:pPr>
    </w:p>
    <w:p w14:paraId="1DEADE1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6562856"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4256563D" w14:textId="77777777" w:rsidR="00E61A89" w:rsidRPr="00E74967" w:rsidRDefault="00E61A89" w:rsidP="00E61A89">
      <w:pPr>
        <w:tabs>
          <w:tab w:val="left" w:leader="underscore" w:pos="9639"/>
        </w:tabs>
        <w:spacing w:after="0" w:line="240" w:lineRule="auto"/>
        <w:jc w:val="both"/>
        <w:rPr>
          <w:rFonts w:cs="Calibri"/>
        </w:rPr>
      </w:pPr>
    </w:p>
    <w:p w14:paraId="05374AB0"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5390453"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6767BB71" w14:textId="77777777" w:rsidR="00E61A89" w:rsidRPr="00E74967" w:rsidRDefault="00E61A89" w:rsidP="00E61A89">
      <w:pPr>
        <w:tabs>
          <w:tab w:val="left" w:leader="underscore" w:pos="9639"/>
        </w:tabs>
        <w:spacing w:after="0" w:line="240" w:lineRule="auto"/>
        <w:jc w:val="both"/>
        <w:rPr>
          <w:rFonts w:cs="Calibri"/>
        </w:rPr>
      </w:pPr>
    </w:p>
    <w:p w14:paraId="118ECF5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EB52F06"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77D9BAAA" w14:textId="77777777" w:rsidR="00E61A89" w:rsidRPr="00E74967" w:rsidRDefault="00E61A89" w:rsidP="00E61A89">
      <w:pPr>
        <w:tabs>
          <w:tab w:val="left" w:leader="underscore" w:pos="9639"/>
        </w:tabs>
        <w:spacing w:after="0" w:line="240" w:lineRule="auto"/>
        <w:jc w:val="both"/>
        <w:rPr>
          <w:rFonts w:cs="Calibri"/>
        </w:rPr>
      </w:pPr>
    </w:p>
    <w:p w14:paraId="76DB0284"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AFC7E69"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538A50BE" w14:textId="77777777" w:rsidR="00E61A89" w:rsidRPr="00E74967" w:rsidRDefault="00E61A89" w:rsidP="00E61A89">
      <w:pPr>
        <w:tabs>
          <w:tab w:val="left" w:leader="underscore" w:pos="9639"/>
        </w:tabs>
        <w:spacing w:after="0" w:line="240" w:lineRule="auto"/>
        <w:jc w:val="both"/>
        <w:rPr>
          <w:rFonts w:cs="Calibri"/>
        </w:rPr>
      </w:pPr>
    </w:p>
    <w:p w14:paraId="7C48779D" w14:textId="77777777"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321C623" w14:textId="77777777" w:rsidR="00E61A89" w:rsidRPr="00E74967" w:rsidRDefault="00E61A89" w:rsidP="00E61A89">
      <w:pPr>
        <w:tabs>
          <w:tab w:val="left" w:leader="underscore" w:pos="9639"/>
        </w:tabs>
        <w:spacing w:after="0" w:line="240" w:lineRule="auto"/>
        <w:jc w:val="both"/>
        <w:rPr>
          <w:rFonts w:cs="Calibri"/>
        </w:rPr>
      </w:pPr>
    </w:p>
    <w:p w14:paraId="41BAE92F"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3A9079F5" w14:textId="77777777" w:rsidR="00E61A89" w:rsidRPr="00E74967" w:rsidRDefault="00E61A89" w:rsidP="00E61A89">
      <w:pPr>
        <w:tabs>
          <w:tab w:val="left" w:leader="underscore" w:pos="9639"/>
        </w:tabs>
        <w:spacing w:after="0" w:line="240" w:lineRule="auto"/>
        <w:jc w:val="both"/>
        <w:rPr>
          <w:rFonts w:cs="Calibri"/>
        </w:rPr>
      </w:pPr>
    </w:p>
    <w:p w14:paraId="53A37A3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194F53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14:paraId="0A8EFE6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AC3096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174C15DA"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5CEEFB79" w14:textId="77777777" w:rsidR="00E61A89" w:rsidRPr="00E74967" w:rsidRDefault="00E61A89" w:rsidP="00E61A89">
      <w:pPr>
        <w:tabs>
          <w:tab w:val="left" w:leader="underscore" w:pos="9639"/>
        </w:tabs>
        <w:spacing w:after="0" w:line="240" w:lineRule="auto"/>
        <w:jc w:val="both"/>
        <w:rPr>
          <w:rFonts w:cs="Calibri"/>
        </w:rPr>
      </w:pPr>
    </w:p>
    <w:p w14:paraId="57324266" w14:textId="77777777" w:rsidR="00E61A89" w:rsidRPr="00B27857" w:rsidRDefault="00E61A89" w:rsidP="00E61A89">
      <w:pPr>
        <w:tabs>
          <w:tab w:val="left" w:leader="underscore" w:pos="9639"/>
        </w:tabs>
        <w:spacing w:after="0" w:line="240" w:lineRule="auto"/>
        <w:jc w:val="both"/>
        <w:rPr>
          <w:rFonts w:cs="Calibri"/>
        </w:rPr>
      </w:pPr>
      <w:r w:rsidRPr="00E74967">
        <w:rPr>
          <w:rFonts w:cs="Calibri"/>
          <w:b/>
        </w:rPr>
        <w:lastRenderedPageBreak/>
        <w:t>j)</w:t>
      </w:r>
      <w:r w:rsidRPr="00E74967">
        <w:rPr>
          <w:rFonts w:cs="Calibri"/>
        </w:rPr>
        <w:t xml:space="preserve"> Depuración y cancelación de saldos:</w:t>
      </w:r>
    </w:p>
    <w:p w14:paraId="3E2A1D0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14:paraId="70A90E9A" w14:textId="77777777" w:rsidR="00E61A89" w:rsidRPr="00E74967" w:rsidRDefault="00E61A89" w:rsidP="00E61A89">
      <w:pPr>
        <w:tabs>
          <w:tab w:val="left" w:leader="underscore" w:pos="9639"/>
        </w:tabs>
        <w:spacing w:after="0" w:line="240" w:lineRule="auto"/>
        <w:jc w:val="both"/>
        <w:rPr>
          <w:rFonts w:cs="Calibri"/>
        </w:rPr>
      </w:pPr>
    </w:p>
    <w:p w14:paraId="20A22175" w14:textId="77777777" w:rsidR="00E61A89" w:rsidRPr="00E74967" w:rsidRDefault="00E61A89" w:rsidP="00E61A89">
      <w:pPr>
        <w:tabs>
          <w:tab w:val="left" w:leader="underscore" w:pos="9639"/>
        </w:tabs>
        <w:spacing w:after="0" w:line="240" w:lineRule="auto"/>
        <w:jc w:val="both"/>
        <w:rPr>
          <w:rFonts w:cs="Calibri"/>
        </w:rPr>
      </w:pPr>
    </w:p>
    <w:p w14:paraId="06EA548F" w14:textId="77777777"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14:paraId="66BA9743" w14:textId="77777777" w:rsidR="00E61A89" w:rsidRPr="00E74967" w:rsidRDefault="00E61A89" w:rsidP="00E61A89">
      <w:pPr>
        <w:tabs>
          <w:tab w:val="left" w:leader="underscore" w:pos="9639"/>
        </w:tabs>
        <w:spacing w:after="0" w:line="240" w:lineRule="auto"/>
        <w:jc w:val="both"/>
        <w:rPr>
          <w:rFonts w:cs="Calibri"/>
        </w:rPr>
      </w:pPr>
    </w:p>
    <w:p w14:paraId="1F49D0B7"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6DD8BB1E" w14:textId="77777777" w:rsidR="00E61A89" w:rsidRPr="00E74967" w:rsidRDefault="00E61A89" w:rsidP="00E61A89">
      <w:pPr>
        <w:tabs>
          <w:tab w:val="left" w:leader="underscore" w:pos="9639"/>
        </w:tabs>
        <w:spacing w:after="0" w:line="240" w:lineRule="auto"/>
        <w:jc w:val="both"/>
        <w:rPr>
          <w:rFonts w:cs="Calibri"/>
        </w:rPr>
      </w:pPr>
    </w:p>
    <w:p w14:paraId="2E8F686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EA5370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33CA178" w14:textId="77777777" w:rsidR="00E61A89" w:rsidRPr="00E74967" w:rsidRDefault="00E61A89" w:rsidP="00E61A89">
      <w:pPr>
        <w:tabs>
          <w:tab w:val="left" w:leader="underscore" w:pos="9639"/>
        </w:tabs>
        <w:spacing w:after="0" w:line="240" w:lineRule="auto"/>
        <w:jc w:val="both"/>
        <w:rPr>
          <w:rFonts w:cs="Calibri"/>
        </w:rPr>
      </w:pPr>
    </w:p>
    <w:p w14:paraId="380B4C9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486081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4F0F58E" w14:textId="77777777" w:rsidR="00E61A89" w:rsidRPr="00E74967" w:rsidRDefault="00E61A89" w:rsidP="00E61A89">
      <w:pPr>
        <w:tabs>
          <w:tab w:val="left" w:leader="underscore" w:pos="9639"/>
        </w:tabs>
        <w:spacing w:after="0" w:line="240" w:lineRule="auto"/>
        <w:jc w:val="both"/>
        <w:rPr>
          <w:rFonts w:cs="Calibri"/>
        </w:rPr>
      </w:pPr>
    </w:p>
    <w:p w14:paraId="6B091F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81BA58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AA6724" w14:textId="77777777" w:rsidR="00E61A89" w:rsidRPr="00E74967" w:rsidRDefault="00E61A89" w:rsidP="00E61A89">
      <w:pPr>
        <w:tabs>
          <w:tab w:val="left" w:leader="underscore" w:pos="9639"/>
        </w:tabs>
        <w:spacing w:after="0" w:line="240" w:lineRule="auto"/>
        <w:jc w:val="both"/>
        <w:rPr>
          <w:rFonts w:cs="Calibri"/>
        </w:rPr>
      </w:pPr>
    </w:p>
    <w:p w14:paraId="1F4398E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4DEB6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6B4C9034" w14:textId="77777777" w:rsidR="00E61A89" w:rsidRPr="00E74967" w:rsidRDefault="00E61A89" w:rsidP="00E61A89">
      <w:pPr>
        <w:tabs>
          <w:tab w:val="left" w:leader="underscore" w:pos="9639"/>
        </w:tabs>
        <w:spacing w:after="0" w:line="240" w:lineRule="auto"/>
        <w:jc w:val="both"/>
        <w:rPr>
          <w:rFonts w:cs="Calibri"/>
        </w:rPr>
      </w:pPr>
    </w:p>
    <w:p w14:paraId="7345074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A365B9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2653787" w14:textId="77777777" w:rsidR="00E61A89" w:rsidRPr="00E74967" w:rsidRDefault="00E61A89" w:rsidP="00E61A89">
      <w:pPr>
        <w:tabs>
          <w:tab w:val="left" w:leader="underscore" w:pos="9639"/>
        </w:tabs>
        <w:spacing w:after="0" w:line="240" w:lineRule="auto"/>
        <w:jc w:val="both"/>
        <w:rPr>
          <w:rFonts w:cs="Calibri"/>
        </w:rPr>
      </w:pPr>
    </w:p>
    <w:p w14:paraId="101017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45AB5F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703D27F" w14:textId="77777777" w:rsidR="00E61A89" w:rsidRPr="00E74967" w:rsidRDefault="00E61A89" w:rsidP="00E61A89">
      <w:pPr>
        <w:tabs>
          <w:tab w:val="left" w:leader="underscore" w:pos="9639"/>
        </w:tabs>
        <w:spacing w:after="0" w:line="240" w:lineRule="auto"/>
        <w:jc w:val="both"/>
        <w:rPr>
          <w:rFonts w:cs="Calibri"/>
        </w:rPr>
      </w:pPr>
    </w:p>
    <w:p w14:paraId="28AF1F17" w14:textId="77777777" w:rsidR="00E61A89" w:rsidRPr="00E74967" w:rsidRDefault="00E61A89" w:rsidP="00E61A89">
      <w:pPr>
        <w:tabs>
          <w:tab w:val="left" w:leader="underscore" w:pos="9639"/>
        </w:tabs>
        <w:spacing w:after="0" w:line="240" w:lineRule="auto"/>
        <w:jc w:val="both"/>
        <w:rPr>
          <w:rFonts w:cs="Calibri"/>
        </w:rPr>
      </w:pPr>
    </w:p>
    <w:p w14:paraId="61487DBC" w14:textId="77777777"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14:paraId="350C80F8" w14:textId="77777777" w:rsidR="00E61A89" w:rsidRPr="00E74967" w:rsidRDefault="00E61A89" w:rsidP="00E61A89">
      <w:pPr>
        <w:tabs>
          <w:tab w:val="left" w:leader="underscore" w:pos="9639"/>
        </w:tabs>
        <w:spacing w:after="0" w:line="240" w:lineRule="auto"/>
        <w:jc w:val="both"/>
        <w:rPr>
          <w:rFonts w:cs="Calibri"/>
        </w:rPr>
      </w:pPr>
    </w:p>
    <w:p w14:paraId="3BBC849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14:paraId="4A381855" w14:textId="77777777" w:rsidR="00E61A89" w:rsidRPr="00E74967" w:rsidRDefault="00E61A89" w:rsidP="00E61A89">
      <w:pPr>
        <w:tabs>
          <w:tab w:val="left" w:leader="underscore" w:pos="9639"/>
        </w:tabs>
        <w:spacing w:after="0" w:line="240" w:lineRule="auto"/>
        <w:jc w:val="both"/>
        <w:rPr>
          <w:rFonts w:cs="Calibri"/>
        </w:rPr>
      </w:pPr>
    </w:p>
    <w:p w14:paraId="650A4F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9A5918"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5758C02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2CFF76E"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F53DBF9"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4F2AD552"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14:paraId="394690EB" w14:textId="77777777" w:rsidR="00E61A89" w:rsidRPr="00E74967" w:rsidRDefault="00E61A89" w:rsidP="00E61A89">
      <w:pPr>
        <w:tabs>
          <w:tab w:val="left" w:leader="underscore" w:pos="9639"/>
        </w:tabs>
        <w:spacing w:after="0" w:line="240" w:lineRule="auto"/>
        <w:jc w:val="both"/>
        <w:rPr>
          <w:rFonts w:cs="Calibri"/>
        </w:rPr>
      </w:pPr>
    </w:p>
    <w:p w14:paraId="633250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C58625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05C1FC01" w14:textId="77777777" w:rsidR="00E61A89" w:rsidRPr="00E74967" w:rsidRDefault="00E61A89" w:rsidP="00E61A89">
      <w:pPr>
        <w:tabs>
          <w:tab w:val="left" w:leader="underscore" w:pos="9639"/>
        </w:tabs>
        <w:spacing w:after="0" w:line="240" w:lineRule="auto"/>
        <w:jc w:val="both"/>
        <w:rPr>
          <w:rFonts w:cs="Calibri"/>
        </w:rPr>
      </w:pPr>
    </w:p>
    <w:p w14:paraId="7DED55A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4FBD6B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1C68E574" w14:textId="77777777" w:rsidR="00E61A89" w:rsidRPr="00E74967" w:rsidRDefault="00E61A89" w:rsidP="00E61A89">
      <w:pPr>
        <w:tabs>
          <w:tab w:val="left" w:leader="underscore" w:pos="9639"/>
        </w:tabs>
        <w:spacing w:after="0" w:line="240" w:lineRule="auto"/>
        <w:jc w:val="both"/>
        <w:rPr>
          <w:rFonts w:cs="Calibri"/>
        </w:rPr>
      </w:pPr>
    </w:p>
    <w:p w14:paraId="7F3744B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655104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14:paraId="085F4DBE" w14:textId="77777777" w:rsidR="00E61A89" w:rsidRPr="00E74967" w:rsidRDefault="00E61A89" w:rsidP="00E61A89">
      <w:pPr>
        <w:tabs>
          <w:tab w:val="left" w:leader="underscore" w:pos="9639"/>
        </w:tabs>
        <w:spacing w:after="0" w:line="240" w:lineRule="auto"/>
        <w:jc w:val="both"/>
        <w:rPr>
          <w:rFonts w:cs="Calibri"/>
        </w:rPr>
      </w:pPr>
    </w:p>
    <w:p w14:paraId="4B36177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52FE95A"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A1824D2" w14:textId="77777777" w:rsidR="00E61A89" w:rsidRPr="00E74967" w:rsidRDefault="00E61A89" w:rsidP="00E61A89">
      <w:pPr>
        <w:tabs>
          <w:tab w:val="left" w:leader="underscore" w:pos="9639"/>
        </w:tabs>
        <w:spacing w:after="0" w:line="240" w:lineRule="auto"/>
        <w:jc w:val="both"/>
        <w:rPr>
          <w:rFonts w:cs="Calibri"/>
          <w:b/>
        </w:rPr>
      </w:pPr>
    </w:p>
    <w:p w14:paraId="1B49615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927D9E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w:t>
      </w:r>
      <w:proofErr w:type="gramStart"/>
      <w:r>
        <w:rPr>
          <w:rFonts w:asciiTheme="minorHAnsi" w:hAnsiTheme="minorHAnsi" w:cstheme="minorHAnsi"/>
          <w:sz w:val="24"/>
          <w:szCs w:val="24"/>
        </w:rPr>
        <w:t>han</w:t>
      </w:r>
      <w:proofErr w:type="gramEnd"/>
      <w:r>
        <w:rPr>
          <w:rFonts w:asciiTheme="minorHAnsi" w:hAnsiTheme="minorHAnsi" w:cstheme="minorHAnsi"/>
          <w:sz w:val="24"/>
          <w:szCs w:val="24"/>
        </w:rPr>
        <w:t xml:space="preserve"> habido circunstancias que afecten el activo. </w:t>
      </w:r>
    </w:p>
    <w:p w14:paraId="38E0A0C8" w14:textId="77777777" w:rsidR="00E61A89" w:rsidRPr="00E74967" w:rsidRDefault="00E61A89" w:rsidP="00E61A89">
      <w:pPr>
        <w:tabs>
          <w:tab w:val="left" w:leader="underscore" w:pos="9639"/>
        </w:tabs>
        <w:spacing w:after="0" w:line="240" w:lineRule="auto"/>
        <w:jc w:val="both"/>
        <w:rPr>
          <w:rFonts w:cs="Calibri"/>
        </w:rPr>
      </w:pPr>
    </w:p>
    <w:p w14:paraId="1C84F54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3C21F06" w14:textId="77777777"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 xml:space="preserve">Esta nota no le aplica al ente público, no </w:t>
      </w:r>
      <w:proofErr w:type="gramStart"/>
      <w:r w:rsidRPr="005D4A9B">
        <w:rPr>
          <w:rFonts w:asciiTheme="minorHAnsi" w:hAnsiTheme="minorHAnsi" w:cstheme="minorHAnsi"/>
          <w:sz w:val="24"/>
          <w:szCs w:val="24"/>
        </w:rPr>
        <w:t>ha</w:t>
      </w:r>
      <w:r>
        <w:rPr>
          <w:rFonts w:asciiTheme="minorHAnsi" w:hAnsiTheme="minorHAnsi" w:cstheme="minorHAnsi"/>
          <w:sz w:val="24"/>
          <w:szCs w:val="24"/>
        </w:rPr>
        <w:t>n</w:t>
      </w:r>
      <w:proofErr w:type="gramEnd"/>
      <w:r>
        <w:rPr>
          <w:rFonts w:asciiTheme="minorHAnsi" w:hAnsiTheme="minorHAnsi" w:cstheme="minorHAnsi"/>
          <w:sz w:val="24"/>
          <w:szCs w:val="24"/>
        </w:rPr>
        <w:t xml:space="preserve"> habido</w:t>
      </w:r>
      <w:r w:rsidRPr="005D4A9B">
        <w:rPr>
          <w:rFonts w:asciiTheme="minorHAnsi" w:hAnsiTheme="minorHAnsi" w:cstheme="minorHAnsi"/>
          <w:sz w:val="24"/>
          <w:szCs w:val="24"/>
        </w:rPr>
        <w:t xml:space="preserve"> desmantelamiento de activos, </w:t>
      </w:r>
    </w:p>
    <w:p w14:paraId="392D038B" w14:textId="77777777" w:rsidR="00E61A89" w:rsidRPr="00E74967" w:rsidRDefault="00E61A89" w:rsidP="00E61A89">
      <w:pPr>
        <w:tabs>
          <w:tab w:val="left" w:leader="underscore" w:pos="9639"/>
        </w:tabs>
        <w:spacing w:after="0" w:line="240" w:lineRule="auto"/>
        <w:jc w:val="both"/>
        <w:rPr>
          <w:rFonts w:cs="Calibri"/>
        </w:rPr>
      </w:pPr>
    </w:p>
    <w:p w14:paraId="0EEDC79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30E820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6E9F641D" w14:textId="77777777" w:rsidR="00E61A89" w:rsidRPr="00E74967" w:rsidRDefault="00E61A89" w:rsidP="00E61A89">
      <w:pPr>
        <w:tabs>
          <w:tab w:val="left" w:leader="underscore" w:pos="9639"/>
        </w:tabs>
        <w:spacing w:after="0" w:line="240" w:lineRule="auto"/>
        <w:jc w:val="both"/>
        <w:rPr>
          <w:rFonts w:cs="Calibri"/>
        </w:rPr>
      </w:pPr>
    </w:p>
    <w:p w14:paraId="73D0AC5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7714121" w14:textId="77777777" w:rsidR="00E61A89" w:rsidRPr="00E74967" w:rsidRDefault="00E61A89" w:rsidP="00E61A89">
      <w:pPr>
        <w:tabs>
          <w:tab w:val="left" w:leader="underscore" w:pos="9639"/>
        </w:tabs>
        <w:spacing w:after="0" w:line="240" w:lineRule="auto"/>
        <w:jc w:val="both"/>
        <w:rPr>
          <w:rFonts w:cs="Calibri"/>
        </w:rPr>
      </w:pPr>
    </w:p>
    <w:p w14:paraId="3EDC64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0D65E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250C3574" w14:textId="77777777" w:rsidR="00E61A89" w:rsidRPr="00E74967" w:rsidRDefault="00E61A89" w:rsidP="00E61A89">
      <w:pPr>
        <w:tabs>
          <w:tab w:val="left" w:leader="underscore" w:pos="9639"/>
        </w:tabs>
        <w:spacing w:after="0" w:line="240" w:lineRule="auto"/>
        <w:jc w:val="both"/>
        <w:rPr>
          <w:rFonts w:cs="Calibri"/>
        </w:rPr>
      </w:pPr>
    </w:p>
    <w:p w14:paraId="606B5C6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1C413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2A1E0E83" w14:textId="77777777" w:rsidR="00E61A89" w:rsidRPr="00E74967" w:rsidRDefault="00E61A89" w:rsidP="00E61A89">
      <w:pPr>
        <w:tabs>
          <w:tab w:val="left" w:leader="underscore" w:pos="9639"/>
        </w:tabs>
        <w:spacing w:after="0" w:line="240" w:lineRule="auto"/>
        <w:jc w:val="both"/>
        <w:rPr>
          <w:rFonts w:cs="Calibri"/>
        </w:rPr>
      </w:pPr>
    </w:p>
    <w:p w14:paraId="5E1F7C4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8F05F1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387D4D13" w14:textId="77777777" w:rsidR="00E61A89" w:rsidRPr="00E74967" w:rsidRDefault="00E61A89" w:rsidP="00E61A89">
      <w:pPr>
        <w:tabs>
          <w:tab w:val="left" w:leader="underscore" w:pos="9639"/>
        </w:tabs>
        <w:spacing w:after="0" w:line="240" w:lineRule="auto"/>
        <w:jc w:val="both"/>
        <w:rPr>
          <w:rFonts w:cs="Calibri"/>
        </w:rPr>
      </w:pPr>
    </w:p>
    <w:p w14:paraId="3A02A9A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332ED52"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23C716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7A840A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CC4687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14:paraId="15E92A8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D1129A0" w14:textId="77777777" w:rsidR="00E61A89" w:rsidRPr="00E74967" w:rsidRDefault="00E61A89" w:rsidP="00E61A89">
      <w:pPr>
        <w:tabs>
          <w:tab w:val="left" w:leader="underscore" w:pos="9639"/>
        </w:tabs>
        <w:spacing w:after="0" w:line="240" w:lineRule="auto"/>
        <w:jc w:val="both"/>
        <w:rPr>
          <w:rFonts w:cs="Calibri"/>
        </w:rPr>
      </w:pPr>
    </w:p>
    <w:p w14:paraId="0676BBE4" w14:textId="77777777" w:rsidR="00E61A89" w:rsidRPr="00E74967" w:rsidRDefault="00E61A89" w:rsidP="00E61A89">
      <w:pPr>
        <w:tabs>
          <w:tab w:val="left" w:leader="underscore" w:pos="9639"/>
        </w:tabs>
        <w:spacing w:after="0" w:line="240" w:lineRule="auto"/>
        <w:jc w:val="both"/>
        <w:rPr>
          <w:rFonts w:cs="Calibri"/>
        </w:rPr>
      </w:pPr>
    </w:p>
    <w:p w14:paraId="1412C85D" w14:textId="77777777"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t>9. Fideicomisos, Mandatos y Análogos:</w:t>
      </w:r>
      <w:bookmarkEnd w:id="8"/>
    </w:p>
    <w:p w14:paraId="2F9D438B" w14:textId="77777777" w:rsidR="00E61A89" w:rsidRPr="00E74967" w:rsidRDefault="00E61A89" w:rsidP="00E61A89">
      <w:pPr>
        <w:tabs>
          <w:tab w:val="left" w:leader="underscore" w:pos="9639"/>
        </w:tabs>
        <w:spacing w:after="0" w:line="240" w:lineRule="auto"/>
        <w:jc w:val="both"/>
        <w:rPr>
          <w:rFonts w:cs="Calibri"/>
        </w:rPr>
      </w:pPr>
    </w:p>
    <w:p w14:paraId="3F35085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14:paraId="708D80BD" w14:textId="77777777" w:rsidR="00E61A89" w:rsidRPr="00E74967" w:rsidRDefault="00E61A89" w:rsidP="00E61A89">
      <w:pPr>
        <w:tabs>
          <w:tab w:val="left" w:leader="underscore" w:pos="9639"/>
        </w:tabs>
        <w:spacing w:after="0" w:line="240" w:lineRule="auto"/>
        <w:jc w:val="both"/>
        <w:rPr>
          <w:rFonts w:cs="Calibri"/>
        </w:rPr>
      </w:pPr>
    </w:p>
    <w:p w14:paraId="7F90C70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0300E7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lastRenderedPageBreak/>
        <w:t>Esta nota no le aplica al ente público</w:t>
      </w:r>
      <w:r>
        <w:rPr>
          <w:rFonts w:asciiTheme="minorHAnsi" w:hAnsiTheme="minorHAnsi" w:cstheme="minorHAnsi"/>
          <w:sz w:val="24"/>
          <w:szCs w:val="24"/>
        </w:rPr>
        <w:t>, el instituto no forma parte de un fideicomiso</w:t>
      </w:r>
    </w:p>
    <w:p w14:paraId="7EA7CA9C" w14:textId="77777777" w:rsidR="00E61A89" w:rsidRPr="00E74967" w:rsidRDefault="00E61A89" w:rsidP="00E61A89">
      <w:pPr>
        <w:tabs>
          <w:tab w:val="left" w:leader="underscore" w:pos="9639"/>
        </w:tabs>
        <w:spacing w:after="0" w:line="240" w:lineRule="auto"/>
        <w:jc w:val="both"/>
        <w:rPr>
          <w:rFonts w:cs="Calibri"/>
        </w:rPr>
      </w:pPr>
    </w:p>
    <w:p w14:paraId="0614CBB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6D80DD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09989DB9" w14:textId="77777777" w:rsidR="00E61A89" w:rsidRPr="00E74967" w:rsidRDefault="00E61A89" w:rsidP="00E61A89">
      <w:pPr>
        <w:tabs>
          <w:tab w:val="left" w:leader="underscore" w:pos="9639"/>
        </w:tabs>
        <w:spacing w:after="0" w:line="240" w:lineRule="auto"/>
        <w:jc w:val="both"/>
        <w:rPr>
          <w:rFonts w:cs="Calibri"/>
        </w:rPr>
      </w:pPr>
    </w:p>
    <w:p w14:paraId="3EE76BCB" w14:textId="77777777"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14:paraId="4F1F1D51" w14:textId="77777777" w:rsidR="00E61A89" w:rsidRPr="00E74967" w:rsidRDefault="00E61A89" w:rsidP="00E61A89">
      <w:pPr>
        <w:tabs>
          <w:tab w:val="left" w:leader="underscore" w:pos="9639"/>
        </w:tabs>
        <w:spacing w:after="0" w:line="240" w:lineRule="auto"/>
        <w:jc w:val="both"/>
        <w:rPr>
          <w:rFonts w:cs="Calibri"/>
        </w:rPr>
      </w:pPr>
    </w:p>
    <w:p w14:paraId="77B48CB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486E54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w:t>
      </w:r>
      <w:proofErr w:type="gramStart"/>
      <w:r>
        <w:rPr>
          <w:rFonts w:asciiTheme="minorHAnsi" w:hAnsiTheme="minorHAnsi" w:cstheme="minorHAnsi"/>
          <w:sz w:val="24"/>
          <w:szCs w:val="24"/>
        </w:rPr>
        <w:t>Enero</w:t>
      </w:r>
      <w:proofErr w:type="gramEnd"/>
      <w:r>
        <w:rPr>
          <w:rFonts w:asciiTheme="minorHAnsi" w:hAnsiTheme="minorHAnsi" w:cstheme="minorHAnsi"/>
          <w:sz w:val="24"/>
          <w:szCs w:val="24"/>
        </w:rPr>
        <w:t xml:space="preserve">- </w:t>
      </w:r>
      <w:r w:rsidR="00034728">
        <w:rPr>
          <w:rFonts w:asciiTheme="minorHAnsi" w:hAnsiTheme="minorHAnsi" w:cstheme="minorHAnsi"/>
          <w:sz w:val="24"/>
          <w:szCs w:val="24"/>
        </w:rPr>
        <w:t>Junio</w:t>
      </w:r>
      <w:r>
        <w:rPr>
          <w:rFonts w:asciiTheme="minorHAnsi" w:hAnsiTheme="minorHAnsi" w:cstheme="minorHAnsi"/>
          <w:sz w:val="24"/>
          <w:szCs w:val="24"/>
        </w:rPr>
        <w:t xml:space="preserve"> fue menor conforme a lo proyectado en el pronóstico de ingresos. </w:t>
      </w:r>
    </w:p>
    <w:p w14:paraId="2615BEDD" w14:textId="77777777" w:rsidR="00E61A89" w:rsidRPr="00E74967" w:rsidRDefault="00E61A89" w:rsidP="00E61A89">
      <w:pPr>
        <w:tabs>
          <w:tab w:val="left" w:leader="underscore" w:pos="9639"/>
        </w:tabs>
        <w:spacing w:after="0" w:line="240" w:lineRule="auto"/>
        <w:jc w:val="both"/>
        <w:rPr>
          <w:rFonts w:cs="Calibri"/>
        </w:rPr>
      </w:pPr>
    </w:p>
    <w:p w14:paraId="2B47EC5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143A1F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14:paraId="1AA8ABEA" w14:textId="77777777" w:rsidR="00E61A89" w:rsidRPr="00E74967" w:rsidRDefault="00E61A89" w:rsidP="00E61A89">
      <w:pPr>
        <w:tabs>
          <w:tab w:val="left" w:leader="underscore" w:pos="9639"/>
        </w:tabs>
        <w:spacing w:after="0" w:line="240" w:lineRule="auto"/>
        <w:jc w:val="both"/>
        <w:rPr>
          <w:rFonts w:cs="Calibri"/>
        </w:rPr>
      </w:pPr>
    </w:p>
    <w:p w14:paraId="53D7F22B" w14:textId="77777777"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14:paraId="1E724FE0" w14:textId="77777777" w:rsidR="00E61A89" w:rsidRPr="00E74967" w:rsidRDefault="00E61A89" w:rsidP="00E61A89">
      <w:pPr>
        <w:tabs>
          <w:tab w:val="left" w:leader="underscore" w:pos="9639"/>
        </w:tabs>
        <w:spacing w:after="0" w:line="240" w:lineRule="auto"/>
        <w:jc w:val="both"/>
        <w:rPr>
          <w:rFonts w:cs="Calibri"/>
        </w:rPr>
      </w:pPr>
    </w:p>
    <w:p w14:paraId="226F03EB" w14:textId="5B5E5B2B" w:rsidR="00E61A89"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4E7929">
        <w:rPr>
          <w:rFonts w:cs="Calibri"/>
        </w:rPr>
        <w:t xml:space="preserve"> </w:t>
      </w:r>
    </w:p>
    <w:p w14:paraId="53092879" w14:textId="70B85073" w:rsidR="004E7929" w:rsidRDefault="004E7929" w:rsidP="004E7929">
      <w:pPr>
        <w:tabs>
          <w:tab w:val="left" w:leader="underscore" w:pos="9639"/>
        </w:tabs>
        <w:spacing w:after="0" w:line="240" w:lineRule="auto"/>
        <w:jc w:val="both"/>
        <w:rPr>
          <w:rFonts w:cs="Calibri"/>
        </w:rPr>
      </w:pPr>
      <w:r w:rsidRPr="004E7929">
        <w:rPr>
          <w:rFonts w:cs="Calibri"/>
          <w:b/>
          <w:bCs/>
        </w:rPr>
        <w:t>Apoyo financiero convenio con Municipio de Irapuato</w:t>
      </w:r>
      <w:r>
        <w:rPr>
          <w:rFonts w:cs="Calibri"/>
        </w:rPr>
        <w:t>.</w:t>
      </w:r>
    </w:p>
    <w:p w14:paraId="43210116" w14:textId="77777777" w:rsidR="004E7929" w:rsidRPr="00E74967" w:rsidRDefault="004E7929" w:rsidP="00E61A89">
      <w:pPr>
        <w:tabs>
          <w:tab w:val="left" w:leader="underscore" w:pos="9639"/>
        </w:tabs>
        <w:spacing w:after="0" w:line="240" w:lineRule="auto"/>
        <w:jc w:val="both"/>
        <w:rPr>
          <w:rFonts w:cs="Calibri"/>
        </w:rPr>
      </w:pPr>
    </w:p>
    <w:p w14:paraId="17F6030C" w14:textId="77777777" w:rsidR="00E61A89" w:rsidRPr="00E74967" w:rsidRDefault="00E61A89" w:rsidP="00E61A89">
      <w:pPr>
        <w:tabs>
          <w:tab w:val="left" w:leader="underscore" w:pos="9639"/>
        </w:tabs>
        <w:spacing w:after="0" w:line="240" w:lineRule="auto"/>
        <w:jc w:val="both"/>
        <w:rPr>
          <w:rFonts w:cs="Calibri"/>
        </w:rPr>
      </w:pPr>
    </w:p>
    <w:p w14:paraId="53DFB16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7A6D38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14:paraId="3F828477" w14:textId="77777777" w:rsidR="004E7929" w:rsidRDefault="004E7929" w:rsidP="004E7929">
      <w:pPr>
        <w:spacing w:after="0" w:line="240" w:lineRule="auto"/>
        <w:jc w:val="both"/>
        <w:rPr>
          <w:b/>
          <w:bCs/>
          <w:i/>
        </w:rPr>
      </w:pPr>
      <w:r w:rsidRPr="002910B9">
        <w:rPr>
          <w:b/>
          <w:bCs/>
          <w:i/>
        </w:rPr>
        <w:t>Convenio de otorgamiento de apoyo financiero recuperable</w:t>
      </w:r>
    </w:p>
    <w:p w14:paraId="0D209A02" w14:textId="77777777" w:rsidR="004E7929" w:rsidRDefault="004E7929" w:rsidP="004E7929">
      <w:pPr>
        <w:spacing w:after="0" w:line="240" w:lineRule="auto"/>
        <w:jc w:val="both"/>
        <w:rPr>
          <w:b/>
          <w:bCs/>
          <w:i/>
        </w:rPr>
      </w:pPr>
      <w:r>
        <w:rPr>
          <w:b/>
          <w:bCs/>
          <w:i/>
        </w:rPr>
        <w:t>Monto: $12,000,000</w:t>
      </w:r>
    </w:p>
    <w:p w14:paraId="36C0EADC" w14:textId="77777777" w:rsidR="004E7929" w:rsidRDefault="004E7929" w:rsidP="004E7929">
      <w:pPr>
        <w:spacing w:after="0" w:line="240" w:lineRule="auto"/>
        <w:jc w:val="both"/>
        <w:rPr>
          <w:b/>
          <w:bCs/>
          <w:i/>
        </w:rPr>
      </w:pPr>
      <w:r>
        <w:rPr>
          <w:b/>
          <w:bCs/>
          <w:i/>
        </w:rPr>
        <w:t>Tasa: tasa fija a razón de CETES a 28 días</w:t>
      </w:r>
    </w:p>
    <w:p w14:paraId="21FED33D" w14:textId="77777777" w:rsidR="004E7929" w:rsidRPr="006A1624" w:rsidRDefault="004E7929" w:rsidP="004E7929">
      <w:pPr>
        <w:spacing w:after="0" w:line="240" w:lineRule="auto"/>
        <w:jc w:val="both"/>
        <w:rPr>
          <w:b/>
          <w:bCs/>
          <w:i/>
        </w:rPr>
      </w:pPr>
      <w:r>
        <w:rPr>
          <w:b/>
          <w:bCs/>
          <w:i/>
        </w:rPr>
        <w:t>Plazo:15 meses</w:t>
      </w:r>
    </w:p>
    <w:p w14:paraId="660CD015" w14:textId="77777777" w:rsidR="00E61A89" w:rsidRPr="00E74967" w:rsidRDefault="00E61A89" w:rsidP="00E61A89">
      <w:pPr>
        <w:tabs>
          <w:tab w:val="left" w:leader="underscore" w:pos="9639"/>
        </w:tabs>
        <w:spacing w:after="0" w:line="240" w:lineRule="auto"/>
        <w:jc w:val="both"/>
        <w:rPr>
          <w:rFonts w:cs="Calibri"/>
        </w:rPr>
      </w:pPr>
    </w:p>
    <w:p w14:paraId="149795C4" w14:textId="77777777" w:rsidR="00E61A89" w:rsidRPr="00E74967" w:rsidRDefault="00E61A89" w:rsidP="00E61A89">
      <w:pPr>
        <w:tabs>
          <w:tab w:val="left" w:leader="underscore" w:pos="9639"/>
        </w:tabs>
        <w:spacing w:after="0" w:line="240" w:lineRule="auto"/>
        <w:jc w:val="both"/>
        <w:rPr>
          <w:rFonts w:cs="Calibri"/>
        </w:rPr>
      </w:pPr>
    </w:p>
    <w:p w14:paraId="16593568" w14:textId="77777777"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14:paraId="776288E8" w14:textId="77777777" w:rsidR="00E61A89" w:rsidRPr="00E74967" w:rsidRDefault="00E61A89" w:rsidP="00E61A89">
      <w:pPr>
        <w:tabs>
          <w:tab w:val="left" w:leader="underscore" w:pos="9639"/>
        </w:tabs>
        <w:spacing w:after="0" w:line="240" w:lineRule="auto"/>
        <w:jc w:val="both"/>
        <w:rPr>
          <w:rFonts w:cs="Calibri"/>
        </w:rPr>
      </w:pPr>
    </w:p>
    <w:p w14:paraId="1A2B19FB"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29062AB" w14:textId="77777777"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7825DB3C" w14:textId="77777777" w:rsidR="00E61A89" w:rsidRPr="00E74967" w:rsidRDefault="00E61A89" w:rsidP="00E61A89">
      <w:pPr>
        <w:tabs>
          <w:tab w:val="left" w:leader="underscore" w:pos="9639"/>
        </w:tabs>
        <w:spacing w:after="0" w:line="240" w:lineRule="auto"/>
        <w:jc w:val="both"/>
        <w:rPr>
          <w:rFonts w:cs="Calibri"/>
        </w:rPr>
      </w:pPr>
    </w:p>
    <w:p w14:paraId="5F5897F1" w14:textId="77777777"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14:paraId="64C9CECB" w14:textId="77777777" w:rsidR="00E61A89" w:rsidRPr="00E74967" w:rsidRDefault="00E61A89" w:rsidP="00E61A89">
      <w:pPr>
        <w:tabs>
          <w:tab w:val="left" w:leader="underscore" w:pos="9639"/>
        </w:tabs>
        <w:spacing w:after="0" w:line="240" w:lineRule="auto"/>
        <w:jc w:val="both"/>
        <w:rPr>
          <w:rFonts w:cs="Calibri"/>
        </w:rPr>
      </w:pPr>
    </w:p>
    <w:p w14:paraId="2D0F1E36"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14:paraId="3806B6A3" w14:textId="77777777" w:rsidR="00E61A89" w:rsidRPr="00E74967" w:rsidRDefault="00E61A89" w:rsidP="00E61A89">
      <w:pPr>
        <w:tabs>
          <w:tab w:val="left" w:leader="underscore" w:pos="9639"/>
        </w:tabs>
        <w:spacing w:after="0" w:line="240" w:lineRule="auto"/>
        <w:jc w:val="both"/>
        <w:rPr>
          <w:rFonts w:cs="Calibri"/>
        </w:rPr>
      </w:pPr>
    </w:p>
    <w:p w14:paraId="74996DD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D16ECA1" w14:textId="1C8F199D"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 xml:space="preserve">En general, nos apegamos a los Lineamientos Generales de Racionalidad, Austeridad y Disciplina Presupuestal aprobados por el </w:t>
      </w:r>
      <w:r w:rsidR="00034728">
        <w:rPr>
          <w:rFonts w:ascii="Arial" w:hAnsi="Arial" w:cs="Arial"/>
          <w:sz w:val="20"/>
          <w:szCs w:val="20"/>
        </w:rPr>
        <w:t>Consejo Directivo del año 202</w:t>
      </w:r>
      <w:r w:rsidR="00902DAC">
        <w:rPr>
          <w:rFonts w:ascii="Arial" w:hAnsi="Arial" w:cs="Arial"/>
          <w:sz w:val="20"/>
          <w:szCs w:val="20"/>
        </w:rPr>
        <w:t>3</w:t>
      </w:r>
    </w:p>
    <w:p w14:paraId="1383C5EF" w14:textId="77777777" w:rsidR="00902DAC" w:rsidRDefault="00902DAC" w:rsidP="00E61A89">
      <w:pPr>
        <w:tabs>
          <w:tab w:val="left" w:leader="underscore" w:pos="9639"/>
        </w:tabs>
        <w:spacing w:after="0" w:line="240" w:lineRule="auto"/>
        <w:jc w:val="both"/>
        <w:rPr>
          <w:rFonts w:ascii="Arial" w:hAnsi="Arial" w:cs="Arial"/>
          <w:sz w:val="20"/>
          <w:szCs w:val="20"/>
        </w:rPr>
      </w:pPr>
    </w:p>
    <w:p w14:paraId="3380A026" w14:textId="77777777" w:rsidR="00E61A89" w:rsidRPr="00E74967" w:rsidRDefault="00E61A89" w:rsidP="00E61A89">
      <w:pPr>
        <w:tabs>
          <w:tab w:val="left" w:leader="underscore" w:pos="9639"/>
        </w:tabs>
        <w:spacing w:after="0" w:line="240" w:lineRule="auto"/>
        <w:jc w:val="both"/>
        <w:rPr>
          <w:rFonts w:cs="Calibri"/>
        </w:rPr>
      </w:pPr>
    </w:p>
    <w:p w14:paraId="688CAC7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7C14930" w14:textId="77777777" w:rsidR="00E61A89" w:rsidRPr="00E74967" w:rsidRDefault="00E61A89" w:rsidP="00E61A89">
      <w:pPr>
        <w:tabs>
          <w:tab w:val="left" w:leader="underscore" w:pos="9639"/>
        </w:tabs>
        <w:spacing w:after="0" w:line="240" w:lineRule="auto"/>
        <w:jc w:val="both"/>
        <w:rPr>
          <w:rFonts w:cs="Calibri"/>
        </w:rPr>
      </w:pPr>
      <w:r>
        <w:rPr>
          <w:rFonts w:cs="Calibri"/>
        </w:rPr>
        <w:t>Conforme al PBR</w:t>
      </w:r>
    </w:p>
    <w:p w14:paraId="4D21AF39" w14:textId="77777777" w:rsidR="00E61A89" w:rsidRPr="00E74967" w:rsidRDefault="00E61A89" w:rsidP="00E61A89">
      <w:pPr>
        <w:tabs>
          <w:tab w:val="left" w:leader="underscore" w:pos="9639"/>
        </w:tabs>
        <w:spacing w:after="0" w:line="240" w:lineRule="auto"/>
        <w:jc w:val="both"/>
        <w:rPr>
          <w:rFonts w:cs="Calibri"/>
        </w:rPr>
      </w:pPr>
    </w:p>
    <w:p w14:paraId="204BF00E" w14:textId="77777777" w:rsidR="00E61A89" w:rsidRPr="00E74967" w:rsidRDefault="00E61A89" w:rsidP="00E61A89">
      <w:pPr>
        <w:tabs>
          <w:tab w:val="left" w:leader="underscore" w:pos="9639"/>
        </w:tabs>
        <w:spacing w:after="0" w:line="240" w:lineRule="auto"/>
        <w:jc w:val="both"/>
        <w:rPr>
          <w:rFonts w:cs="Calibri"/>
        </w:rPr>
      </w:pPr>
    </w:p>
    <w:p w14:paraId="1C451477" w14:textId="77777777"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14:paraId="212EE8BB" w14:textId="77777777" w:rsidR="00E61A89" w:rsidRPr="00E74967" w:rsidRDefault="00E61A89" w:rsidP="00E61A89">
      <w:pPr>
        <w:tabs>
          <w:tab w:val="left" w:leader="underscore" w:pos="9639"/>
        </w:tabs>
        <w:spacing w:after="0" w:line="240" w:lineRule="auto"/>
        <w:jc w:val="both"/>
        <w:rPr>
          <w:rFonts w:cs="Calibri"/>
        </w:rPr>
      </w:pPr>
    </w:p>
    <w:p w14:paraId="1FA31D0F"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9E9B18" w14:textId="77777777" w:rsidR="00E61A89" w:rsidRPr="00E74967" w:rsidRDefault="00E61A89" w:rsidP="00E61A89">
      <w:pPr>
        <w:tabs>
          <w:tab w:val="left" w:leader="underscore" w:pos="9639"/>
        </w:tabs>
        <w:spacing w:after="0" w:line="240" w:lineRule="auto"/>
        <w:jc w:val="both"/>
        <w:rPr>
          <w:rFonts w:cs="Calibri"/>
        </w:rPr>
      </w:pPr>
    </w:p>
    <w:p w14:paraId="12B0CEF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400E579" w14:textId="77777777" w:rsidR="00E61A89" w:rsidRPr="00E74967" w:rsidRDefault="00E61A89" w:rsidP="00E61A89">
      <w:pPr>
        <w:tabs>
          <w:tab w:val="left" w:leader="underscore" w:pos="9639"/>
        </w:tabs>
        <w:spacing w:after="0" w:line="240" w:lineRule="auto"/>
        <w:jc w:val="both"/>
        <w:rPr>
          <w:rFonts w:cs="Calibri"/>
        </w:rPr>
      </w:pPr>
    </w:p>
    <w:p w14:paraId="51702394" w14:textId="77777777" w:rsidR="00E61A89" w:rsidRPr="00E74967" w:rsidRDefault="00E61A89" w:rsidP="00E61A89">
      <w:pPr>
        <w:tabs>
          <w:tab w:val="left" w:leader="underscore" w:pos="9639"/>
        </w:tabs>
        <w:spacing w:after="0" w:line="240" w:lineRule="auto"/>
        <w:jc w:val="both"/>
        <w:rPr>
          <w:rFonts w:cs="Calibri"/>
        </w:rPr>
      </w:pPr>
    </w:p>
    <w:p w14:paraId="5611CFB0" w14:textId="77777777"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14:paraId="04597480" w14:textId="77777777" w:rsidR="00E61A89" w:rsidRPr="00E74967" w:rsidRDefault="00E61A89" w:rsidP="00E61A89">
      <w:pPr>
        <w:tabs>
          <w:tab w:val="left" w:leader="underscore" w:pos="9639"/>
        </w:tabs>
        <w:spacing w:after="0" w:line="240" w:lineRule="auto"/>
        <w:jc w:val="both"/>
        <w:rPr>
          <w:rFonts w:cs="Calibri"/>
        </w:rPr>
      </w:pPr>
    </w:p>
    <w:p w14:paraId="76D6F2A4"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proofErr w:type="gramStart"/>
      <w:r w:rsidRPr="00E74967">
        <w:rPr>
          <w:rFonts w:cs="Calibri"/>
        </w:rPr>
        <w:t>afectan  económicamente</w:t>
      </w:r>
      <w:proofErr w:type="gramEnd"/>
      <w:r w:rsidRPr="00E74967">
        <w:rPr>
          <w:rFonts w:cs="Calibri"/>
        </w:rPr>
        <w:t xml:space="preserve"> y que no se conocían a la fecha de cierre.</w:t>
      </w:r>
      <w:r w:rsidRPr="00E74967">
        <w:rPr>
          <w:rFonts w:cs="Calibri"/>
        </w:rPr>
        <w:cr/>
      </w:r>
    </w:p>
    <w:p w14:paraId="2F277ADC" w14:textId="77777777" w:rsidR="00E61A89" w:rsidRPr="00E74967" w:rsidRDefault="00E61A89" w:rsidP="00E61A89">
      <w:pPr>
        <w:tabs>
          <w:tab w:val="left" w:leader="underscore" w:pos="9639"/>
        </w:tabs>
        <w:spacing w:after="0" w:line="240" w:lineRule="auto"/>
        <w:jc w:val="both"/>
        <w:rPr>
          <w:rFonts w:cs="Calibri"/>
        </w:rPr>
      </w:pPr>
    </w:p>
    <w:p w14:paraId="18A11860" w14:textId="77777777"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14:paraId="7730D52B" w14:textId="77777777" w:rsidR="00E61A89" w:rsidRPr="00E74967" w:rsidRDefault="00E61A89" w:rsidP="00E61A89">
      <w:pPr>
        <w:tabs>
          <w:tab w:val="left" w:leader="underscore" w:pos="9639"/>
        </w:tabs>
        <w:spacing w:after="0" w:line="240" w:lineRule="auto"/>
        <w:jc w:val="both"/>
        <w:rPr>
          <w:rFonts w:cs="Calibri"/>
        </w:rPr>
      </w:pPr>
    </w:p>
    <w:p w14:paraId="276EB89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DACA7A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14:paraId="43A8F5AE" w14:textId="77777777" w:rsidR="00E61A89" w:rsidRPr="00E74967" w:rsidRDefault="00E61A89" w:rsidP="00E61A89">
      <w:pPr>
        <w:tabs>
          <w:tab w:val="left" w:leader="underscore" w:pos="9639"/>
        </w:tabs>
        <w:spacing w:after="0" w:line="240" w:lineRule="auto"/>
        <w:jc w:val="both"/>
        <w:rPr>
          <w:rFonts w:cs="Calibri"/>
        </w:rPr>
      </w:pPr>
    </w:p>
    <w:p w14:paraId="43E5F4A5" w14:textId="77777777" w:rsidR="00E61A89" w:rsidRPr="00E74967" w:rsidRDefault="00E61A89" w:rsidP="00E61A89">
      <w:pPr>
        <w:tabs>
          <w:tab w:val="left" w:leader="underscore" w:pos="9639"/>
        </w:tabs>
        <w:spacing w:after="0" w:line="240" w:lineRule="auto"/>
        <w:jc w:val="both"/>
        <w:rPr>
          <w:rFonts w:cs="Calibri"/>
        </w:rPr>
      </w:pPr>
    </w:p>
    <w:p w14:paraId="67E72F03" w14:textId="77777777"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14:paraId="2B037476" w14:textId="77777777" w:rsidR="00E61A89" w:rsidRPr="00E74967" w:rsidRDefault="00E61A89" w:rsidP="00E61A89">
      <w:pPr>
        <w:tabs>
          <w:tab w:val="left" w:leader="underscore" w:pos="9639"/>
        </w:tabs>
        <w:spacing w:after="0" w:line="240" w:lineRule="auto"/>
        <w:jc w:val="both"/>
        <w:rPr>
          <w:rFonts w:cs="Calibri"/>
        </w:rPr>
      </w:pPr>
    </w:p>
    <w:p w14:paraId="3E979BB3" w14:textId="77777777"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 xml:space="preserve">firmada en cada página de </w:t>
      </w:r>
      <w:proofErr w:type="gramStart"/>
      <w:r w:rsidRPr="001973A2">
        <w:rPr>
          <w:rFonts w:cs="Calibri"/>
        </w:rPr>
        <w:t>la misma</w:t>
      </w:r>
      <w:proofErr w:type="gramEnd"/>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93CEAC8" w14:textId="77777777" w:rsidR="00E61A89" w:rsidRDefault="00E61A89" w:rsidP="00E61A89">
      <w:pPr>
        <w:pBdr>
          <w:bottom w:val="single" w:sz="12" w:space="1" w:color="auto"/>
        </w:pBdr>
        <w:tabs>
          <w:tab w:val="left" w:leader="underscore" w:pos="9639"/>
        </w:tabs>
        <w:spacing w:after="0" w:line="240" w:lineRule="auto"/>
        <w:jc w:val="both"/>
        <w:rPr>
          <w:rFonts w:cs="Calibri"/>
        </w:rPr>
      </w:pPr>
    </w:p>
    <w:p w14:paraId="1107E2CF" w14:textId="77777777"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14:paraId="7694E51B" w14:textId="77777777"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92628B5" w14:textId="77777777" w:rsidR="007D1E76" w:rsidRPr="00E74967" w:rsidRDefault="007D1E76" w:rsidP="00CB41C4">
      <w:pPr>
        <w:tabs>
          <w:tab w:val="left" w:leader="underscore" w:pos="9639"/>
        </w:tabs>
        <w:spacing w:after="0" w:line="240" w:lineRule="auto"/>
        <w:jc w:val="both"/>
        <w:rPr>
          <w:rFonts w:cs="Calibri"/>
        </w:rPr>
      </w:pPr>
    </w:p>
    <w:p w14:paraId="57F470CF" w14:textId="77777777" w:rsidR="00D5018E" w:rsidRPr="00E74967" w:rsidRDefault="00D5018E" w:rsidP="00CB41C4">
      <w:pPr>
        <w:tabs>
          <w:tab w:val="left" w:leader="underscore" w:pos="9639"/>
        </w:tabs>
        <w:spacing w:after="0" w:line="240" w:lineRule="auto"/>
        <w:jc w:val="both"/>
        <w:rPr>
          <w:rFonts w:cs="Calibri"/>
        </w:rPr>
      </w:pPr>
    </w:p>
    <w:sectPr w:rsidR="00D5018E" w:rsidRPr="00E74967"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A638" w14:textId="77777777" w:rsidR="00E963D5" w:rsidRDefault="00E963D5" w:rsidP="00E00323">
      <w:pPr>
        <w:spacing w:after="0" w:line="240" w:lineRule="auto"/>
      </w:pPr>
      <w:r>
        <w:separator/>
      </w:r>
    </w:p>
  </w:endnote>
  <w:endnote w:type="continuationSeparator" w:id="0">
    <w:p w14:paraId="58ADC200" w14:textId="77777777" w:rsidR="00E963D5" w:rsidRDefault="00E963D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332D6B15" w14:textId="77777777" w:rsidR="0012405A" w:rsidRDefault="000028B8">
        <w:pPr>
          <w:pStyle w:val="Piedepgina"/>
          <w:jc w:val="right"/>
        </w:pPr>
        <w:r>
          <w:fldChar w:fldCharType="begin"/>
        </w:r>
        <w:r w:rsidR="0012405A">
          <w:instrText>PAGE   \* MERGEFORMAT</w:instrText>
        </w:r>
        <w:r>
          <w:fldChar w:fldCharType="separate"/>
        </w:r>
        <w:r w:rsidR="00AE44BC" w:rsidRPr="00AE44BC">
          <w:rPr>
            <w:noProof/>
            <w:lang w:val="es-ES"/>
          </w:rPr>
          <w:t>10</w:t>
        </w:r>
        <w:r>
          <w:fldChar w:fldCharType="end"/>
        </w:r>
      </w:p>
    </w:sdtContent>
  </w:sdt>
  <w:p w14:paraId="7071C6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F736" w14:textId="77777777" w:rsidR="00E963D5" w:rsidRDefault="00E963D5" w:rsidP="00E00323">
      <w:pPr>
        <w:spacing w:after="0" w:line="240" w:lineRule="auto"/>
      </w:pPr>
      <w:r>
        <w:separator/>
      </w:r>
    </w:p>
  </w:footnote>
  <w:footnote w:type="continuationSeparator" w:id="0">
    <w:p w14:paraId="2C217AD9" w14:textId="77777777" w:rsidR="00E963D5" w:rsidRDefault="00E963D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E12D" w14:textId="77777777" w:rsidR="00154BA3" w:rsidRDefault="009E74DD" w:rsidP="00A4610E">
    <w:pPr>
      <w:pStyle w:val="Encabezado"/>
      <w:spacing w:after="0" w:line="240" w:lineRule="auto"/>
      <w:jc w:val="center"/>
    </w:pPr>
    <w:r>
      <w:t>Instituto Municipal de Vivienda de Irapuato, Gto</w:t>
    </w:r>
  </w:p>
  <w:p w14:paraId="12037928" w14:textId="15A051BB" w:rsidR="00A4610E" w:rsidRDefault="00A4610E" w:rsidP="007F6635">
    <w:pPr>
      <w:pStyle w:val="Encabezado"/>
      <w:spacing w:after="0" w:line="240" w:lineRule="auto"/>
      <w:jc w:val="center"/>
    </w:pPr>
    <w:r w:rsidRPr="00A4610E">
      <w:t>CORRESPONDI</w:t>
    </w:r>
    <w:r w:rsidR="009E74DD">
      <w:t>E</w:t>
    </w:r>
    <w:r w:rsidRPr="00A4610E">
      <w:t xml:space="preserve">NTES AL </w:t>
    </w:r>
    <w:r w:rsidR="00902DAC">
      <w:t>30</w:t>
    </w:r>
    <w:r w:rsidR="0041448F">
      <w:t xml:space="preserve"> </w:t>
    </w:r>
    <w:r w:rsidR="00621D2C">
      <w:t>DE SEPTIEMBRE</w:t>
    </w:r>
    <w:r w:rsidR="00261372">
      <w:t xml:space="preserve"> </w:t>
    </w:r>
    <w:r w:rsidR="0041448F">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05114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1E76"/>
    <w:rsid w:val="000028B8"/>
    <w:rsid w:val="00004AC5"/>
    <w:rsid w:val="000228EE"/>
    <w:rsid w:val="000230E1"/>
    <w:rsid w:val="00034728"/>
    <w:rsid w:val="00040D4F"/>
    <w:rsid w:val="00084EAE"/>
    <w:rsid w:val="00091CE6"/>
    <w:rsid w:val="00097CFC"/>
    <w:rsid w:val="000B7810"/>
    <w:rsid w:val="000C3365"/>
    <w:rsid w:val="00112DC3"/>
    <w:rsid w:val="0012119C"/>
    <w:rsid w:val="0012405A"/>
    <w:rsid w:val="001502DA"/>
    <w:rsid w:val="00154BA3"/>
    <w:rsid w:val="00154CA0"/>
    <w:rsid w:val="001973A2"/>
    <w:rsid w:val="001C75F2"/>
    <w:rsid w:val="001D2063"/>
    <w:rsid w:val="001D43E9"/>
    <w:rsid w:val="00232175"/>
    <w:rsid w:val="002529CA"/>
    <w:rsid w:val="00252F9A"/>
    <w:rsid w:val="00253203"/>
    <w:rsid w:val="00261372"/>
    <w:rsid w:val="00294CD8"/>
    <w:rsid w:val="002C6A7E"/>
    <w:rsid w:val="002D70DF"/>
    <w:rsid w:val="003453CA"/>
    <w:rsid w:val="00380218"/>
    <w:rsid w:val="003D3ADB"/>
    <w:rsid w:val="004127E2"/>
    <w:rsid w:val="0041448F"/>
    <w:rsid w:val="00425114"/>
    <w:rsid w:val="00435A87"/>
    <w:rsid w:val="00435DEC"/>
    <w:rsid w:val="004441A2"/>
    <w:rsid w:val="00483FA9"/>
    <w:rsid w:val="00486D10"/>
    <w:rsid w:val="004930FE"/>
    <w:rsid w:val="004A58C8"/>
    <w:rsid w:val="004D2D59"/>
    <w:rsid w:val="004E3B8C"/>
    <w:rsid w:val="004E7929"/>
    <w:rsid w:val="004F234D"/>
    <w:rsid w:val="00542337"/>
    <w:rsid w:val="0054701E"/>
    <w:rsid w:val="00564EA1"/>
    <w:rsid w:val="00594506"/>
    <w:rsid w:val="005B5531"/>
    <w:rsid w:val="005C2CFD"/>
    <w:rsid w:val="005D3E43"/>
    <w:rsid w:val="005E231E"/>
    <w:rsid w:val="005F035E"/>
    <w:rsid w:val="00621D2C"/>
    <w:rsid w:val="006271D1"/>
    <w:rsid w:val="00657009"/>
    <w:rsid w:val="00672D48"/>
    <w:rsid w:val="0067694E"/>
    <w:rsid w:val="00681C79"/>
    <w:rsid w:val="0068770E"/>
    <w:rsid w:val="006E5095"/>
    <w:rsid w:val="007610BC"/>
    <w:rsid w:val="007714AB"/>
    <w:rsid w:val="00776141"/>
    <w:rsid w:val="007D1E76"/>
    <w:rsid w:val="007D4484"/>
    <w:rsid w:val="007F6635"/>
    <w:rsid w:val="0086459F"/>
    <w:rsid w:val="00882058"/>
    <w:rsid w:val="008C3BB8"/>
    <w:rsid w:val="008E076C"/>
    <w:rsid w:val="00902DAC"/>
    <w:rsid w:val="00907BE4"/>
    <w:rsid w:val="009162BF"/>
    <w:rsid w:val="0092765C"/>
    <w:rsid w:val="00937E8C"/>
    <w:rsid w:val="009A5BF0"/>
    <w:rsid w:val="009A6752"/>
    <w:rsid w:val="009E74DD"/>
    <w:rsid w:val="009F204A"/>
    <w:rsid w:val="009F5F6F"/>
    <w:rsid w:val="00A05E11"/>
    <w:rsid w:val="00A118BA"/>
    <w:rsid w:val="00A341A1"/>
    <w:rsid w:val="00A4610E"/>
    <w:rsid w:val="00A730E0"/>
    <w:rsid w:val="00A84EAE"/>
    <w:rsid w:val="00AA41E5"/>
    <w:rsid w:val="00AB722B"/>
    <w:rsid w:val="00AE1F6A"/>
    <w:rsid w:val="00AE44BC"/>
    <w:rsid w:val="00BA0646"/>
    <w:rsid w:val="00BA3FB9"/>
    <w:rsid w:val="00BF6F89"/>
    <w:rsid w:val="00C31298"/>
    <w:rsid w:val="00C429CD"/>
    <w:rsid w:val="00C53624"/>
    <w:rsid w:val="00C95864"/>
    <w:rsid w:val="00C97E1E"/>
    <w:rsid w:val="00CB41C4"/>
    <w:rsid w:val="00CE1AA9"/>
    <w:rsid w:val="00CF1316"/>
    <w:rsid w:val="00D13C44"/>
    <w:rsid w:val="00D33F7B"/>
    <w:rsid w:val="00D40FC2"/>
    <w:rsid w:val="00D5018E"/>
    <w:rsid w:val="00D61322"/>
    <w:rsid w:val="00D61FD1"/>
    <w:rsid w:val="00D84D63"/>
    <w:rsid w:val="00D975B1"/>
    <w:rsid w:val="00DA2BAC"/>
    <w:rsid w:val="00E00323"/>
    <w:rsid w:val="00E17A5D"/>
    <w:rsid w:val="00E50A84"/>
    <w:rsid w:val="00E613E5"/>
    <w:rsid w:val="00E61A89"/>
    <w:rsid w:val="00E74967"/>
    <w:rsid w:val="00E7559F"/>
    <w:rsid w:val="00E963D5"/>
    <w:rsid w:val="00EA37F5"/>
    <w:rsid w:val="00EA4311"/>
    <w:rsid w:val="00EA7915"/>
    <w:rsid w:val="00ED7A42"/>
    <w:rsid w:val="00F02E70"/>
    <w:rsid w:val="00F42CC3"/>
    <w:rsid w:val="00F46719"/>
    <w:rsid w:val="00F54F6F"/>
    <w:rsid w:val="00F6102D"/>
    <w:rsid w:val="00F65A92"/>
    <w:rsid w:val="00F75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F2A9F53"/>
  <w15:docId w15:val="{8E048D2B-E126-444F-87CD-41293CE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FB7E3EB8-DAC7-461C-AC1B-1FCC38CE5558}">
  <ds:schemaRefs>
    <ds:schemaRef ds:uri="http://schemas.openxmlformats.org/officeDocument/2006/bibliography"/>
  </ds:schemaRefs>
</ds:datastoreItem>
</file>

<file path=customXml/itemProps4.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10</Pages>
  <Words>3349</Words>
  <Characters>18420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21726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PJ</dc:creator>
  <cp:keywords/>
  <cp:lastModifiedBy>Cyntia Berenice Rios Gutierrez</cp:lastModifiedBy>
  <cp:revision>51</cp:revision>
  <cp:lastPrinted>2023-01-19T16:58:00Z</cp:lastPrinted>
  <dcterms:created xsi:type="dcterms:W3CDTF">2017-01-12T05:27:00Z</dcterms:created>
  <dcterms:modified xsi:type="dcterms:W3CDTF">2023-10-10T17:06:00Z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