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0.0 -->
  <w:body>
    <w:p w:rsidR="000B7810" w:rsidRPr="00B43CA3" w:rsidP="004F234D">
      <w:pPr>
        <w:tabs>
          <w:tab w:val="left" w:leader="underscore" w:pos="9639"/>
        </w:tabs>
        <w:spacing w:after="0" w:line="240" w:lineRule="auto"/>
        <w:ind w:left="9639" w:hanging="9639"/>
        <w:jc w:val="center"/>
        <w:rPr>
          <w:rStyle w:val="SubtleEmphasis"/>
        </w:rPr>
      </w:pPr>
      <w:bookmarkStart w:id="0" w:name="_GoBack"/>
      <w:bookmarkEnd w:id="0"/>
    </w:p>
    <w:p w:rsidR="000B7810" w:rsidRPr="00657009" w:rsidP="00CB41C4">
      <w:pPr>
        <w:tabs>
          <w:tab w:val="left" w:leader="underscore" w:pos="9639"/>
        </w:tabs>
        <w:spacing w:after="0" w:line="240" w:lineRule="auto"/>
        <w:jc w:val="center"/>
        <w:rPr>
          <w:rFonts w:ascii="Times New Roman" w:hAnsi="Times New Roman"/>
          <w:sz w:val="24"/>
          <w:szCs w:val="24"/>
        </w:rPr>
      </w:pPr>
    </w:p>
    <w:p w:rsidR="007D1E76" w:rsidRPr="00E74967" w:rsidP="00CB41C4">
      <w:pPr>
        <w:tabs>
          <w:tab w:val="left" w:leader="underscore" w:pos="9639"/>
        </w:tabs>
        <w:spacing w:after="0" w:line="240" w:lineRule="auto"/>
        <w:jc w:val="center"/>
        <w:rPr>
          <w:rFonts w:cs="Calibri"/>
          <w:b/>
          <w:sz w:val="28"/>
          <w:szCs w:val="28"/>
        </w:rPr>
      </w:pPr>
      <w:hyperlink r:id="rId8" w:history="1">
        <w:r w:rsidRPr="00E74967">
          <w:rPr>
            <w:rStyle w:val="Hyperlink"/>
            <w:rFonts w:cs="Calibri"/>
            <w:b/>
            <w:sz w:val="28"/>
            <w:szCs w:val="28"/>
          </w:rPr>
          <w:t>NOTAS DE GESTIÓN ADMINISTRATIVA</w:t>
        </w:r>
      </w:hyperlink>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Pr="00E74967" w:rsidR="00E00323">
        <w:rPr>
          <w:rFonts w:cs="Calibri"/>
        </w:rPr>
        <w:t xml:space="preserve"> Congreso y a los ciudadanos.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Pr="00E74967" w:rsidR="00E00323">
        <w:rPr>
          <w:rFonts w:cs="Calibri"/>
        </w:rPr>
        <w:t>ismos y sus particularidades.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Pr="00E74967" w:rsidR="00E00323">
        <w:rPr>
          <w:rFonts w:cs="Calibri"/>
        </w:rPr>
        <w:t>ones en períodos posteriores.</w:t>
      </w:r>
    </w:p>
    <w:p w:rsidR="007D1E76" w:rsidRPr="00E74967" w:rsidP="00CB41C4">
      <w:pPr>
        <w:pStyle w:val="ListParagraph"/>
        <w:tabs>
          <w:tab w:val="left" w:leader="underscore" w:pos="9639"/>
        </w:tabs>
        <w:spacing w:after="0" w:line="240" w:lineRule="auto"/>
        <w:jc w:val="both"/>
        <w:rPr>
          <w:rFonts w:cs="Calibri"/>
        </w:rPr>
      </w:pPr>
    </w:p>
    <w:p w:rsidR="007D1E76" w:rsidRPr="00E74967" w:rsidP="00CB41C4">
      <w:pPr>
        <w:pStyle w:val="ListParagraph"/>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pPr>
            <w:pStyle w:val="TOCHeading"/>
          </w:pPr>
          <w:r>
            <w:rPr>
              <w:lang w:val="es-ES"/>
            </w:rPr>
            <w:t>Contenido</w:t>
          </w:r>
        </w:p>
        <w:p w:rsidR="00F46719">
          <w:pPr>
            <w:pStyle w:val="TOC2"/>
            <w:tabs>
              <w:tab w:val="right" w:leader="dot" w:pos="9678"/>
            </w:tabs>
            <w:rPr>
              <w:noProof/>
            </w:rPr>
          </w:pPr>
          <w:r w:rsidRPr="00BA09E7">
            <w:fldChar w:fldCharType="begin"/>
          </w:r>
          <w:r>
            <w:instrText xml:space="preserve"> TOC \o "1-3" \h \z \u </w:instrText>
          </w:r>
          <w:r w:rsidRPr="00BA09E7">
            <w:fldChar w:fldCharType="separate"/>
          </w:r>
          <w:hyperlink w:anchor="_Toc508279621" w:history="1">
            <w:r w:rsidRPr="00C669D1">
              <w:rPr>
                <w:rStyle w:val="Hyperlink"/>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fldChar w:fldCharType="separate"/>
            </w:r>
            <w:r w:rsidR="00910642">
              <w:rPr>
                <w:noProof/>
                <w:webHidden/>
              </w:rPr>
              <w:t>2</w:t>
            </w:r>
            <w:r>
              <w:rPr>
                <w:noProof/>
                <w:webHidden/>
              </w:rPr>
              <w:fldChar w:fldCharType="end"/>
            </w:r>
          </w:hyperlink>
        </w:p>
        <w:p w:rsidR="00F46719">
          <w:pPr>
            <w:pStyle w:val="TOC2"/>
            <w:tabs>
              <w:tab w:val="right" w:leader="dot" w:pos="9678"/>
            </w:tabs>
            <w:rPr>
              <w:noProof/>
            </w:rPr>
          </w:pPr>
          <w:hyperlink w:anchor="_Toc508279622" w:history="1">
            <w:r w:rsidRPr="00C669D1">
              <w:rPr>
                <w:rStyle w:val="Hyperlink"/>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fldChar w:fldCharType="separate"/>
            </w:r>
            <w:r w:rsidR="00910642">
              <w:rPr>
                <w:noProof/>
                <w:webHidden/>
              </w:rPr>
              <w:t>2</w:t>
            </w:r>
            <w:r>
              <w:rPr>
                <w:noProof/>
                <w:webHidden/>
              </w:rPr>
              <w:fldChar w:fldCharType="end"/>
            </w:r>
          </w:hyperlink>
        </w:p>
        <w:p w:rsidR="00F46719">
          <w:pPr>
            <w:pStyle w:val="TOC2"/>
            <w:tabs>
              <w:tab w:val="right" w:leader="dot" w:pos="9678"/>
            </w:tabs>
            <w:rPr>
              <w:noProof/>
            </w:rPr>
          </w:pPr>
          <w:hyperlink w:anchor="_Toc508279623" w:history="1">
            <w:r w:rsidRPr="00C669D1">
              <w:rPr>
                <w:rStyle w:val="Hyperlink"/>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fldChar w:fldCharType="separate"/>
            </w:r>
            <w:r w:rsidR="00910642">
              <w:rPr>
                <w:noProof/>
                <w:webHidden/>
              </w:rPr>
              <w:t>2</w:t>
            </w:r>
            <w:r>
              <w:rPr>
                <w:noProof/>
                <w:webHidden/>
              </w:rPr>
              <w:fldChar w:fldCharType="end"/>
            </w:r>
          </w:hyperlink>
        </w:p>
        <w:p w:rsidR="00F46719">
          <w:pPr>
            <w:pStyle w:val="TOC2"/>
            <w:tabs>
              <w:tab w:val="right" w:leader="dot" w:pos="9678"/>
            </w:tabs>
            <w:rPr>
              <w:noProof/>
            </w:rPr>
          </w:pPr>
          <w:hyperlink w:anchor="_Toc508279624" w:history="1">
            <w:r w:rsidRPr="00C669D1">
              <w:rPr>
                <w:rStyle w:val="Hyperlink"/>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fldChar w:fldCharType="separate"/>
            </w:r>
            <w:r w:rsidR="00910642">
              <w:rPr>
                <w:noProof/>
                <w:webHidden/>
              </w:rPr>
              <w:t>3</w:t>
            </w:r>
            <w:r>
              <w:rPr>
                <w:noProof/>
                <w:webHidden/>
              </w:rPr>
              <w:fldChar w:fldCharType="end"/>
            </w:r>
          </w:hyperlink>
        </w:p>
        <w:p w:rsidR="00F46719">
          <w:pPr>
            <w:pStyle w:val="TOC2"/>
            <w:tabs>
              <w:tab w:val="right" w:leader="dot" w:pos="9678"/>
            </w:tabs>
            <w:rPr>
              <w:noProof/>
            </w:rPr>
          </w:pPr>
          <w:hyperlink w:anchor="_Toc508279625" w:history="1">
            <w:r w:rsidRPr="00C669D1">
              <w:rPr>
                <w:rStyle w:val="Hyperlink"/>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fldChar w:fldCharType="separate"/>
            </w:r>
            <w:r w:rsidR="00910642">
              <w:rPr>
                <w:noProof/>
                <w:webHidden/>
              </w:rPr>
              <w:t>5</w:t>
            </w:r>
            <w:r>
              <w:rPr>
                <w:noProof/>
                <w:webHidden/>
              </w:rPr>
              <w:fldChar w:fldCharType="end"/>
            </w:r>
          </w:hyperlink>
        </w:p>
        <w:p w:rsidR="00F46719">
          <w:pPr>
            <w:pStyle w:val="TOC2"/>
            <w:tabs>
              <w:tab w:val="right" w:leader="dot" w:pos="9678"/>
            </w:tabs>
            <w:rPr>
              <w:noProof/>
            </w:rPr>
          </w:pPr>
          <w:hyperlink w:anchor="_Toc508279626" w:history="1">
            <w:r w:rsidRPr="00C669D1">
              <w:rPr>
                <w:rStyle w:val="Hyperlink"/>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fldChar w:fldCharType="separate"/>
            </w:r>
            <w:r w:rsidR="00910642">
              <w:rPr>
                <w:noProof/>
                <w:webHidden/>
              </w:rPr>
              <w:t>5</w:t>
            </w:r>
            <w:r>
              <w:rPr>
                <w:noProof/>
                <w:webHidden/>
              </w:rPr>
              <w:fldChar w:fldCharType="end"/>
            </w:r>
          </w:hyperlink>
        </w:p>
        <w:p w:rsidR="00F46719">
          <w:pPr>
            <w:pStyle w:val="TOC2"/>
            <w:tabs>
              <w:tab w:val="right" w:leader="dot" w:pos="9678"/>
            </w:tabs>
            <w:rPr>
              <w:noProof/>
            </w:rPr>
          </w:pPr>
          <w:hyperlink w:anchor="_Toc508279627" w:history="1">
            <w:r w:rsidRPr="00C669D1">
              <w:rPr>
                <w:rStyle w:val="Hyperlink"/>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fldChar w:fldCharType="separate"/>
            </w:r>
            <w:r w:rsidR="00910642">
              <w:rPr>
                <w:noProof/>
                <w:webHidden/>
              </w:rPr>
              <w:t>7</w:t>
            </w:r>
            <w:r>
              <w:rPr>
                <w:noProof/>
                <w:webHidden/>
              </w:rPr>
              <w:fldChar w:fldCharType="end"/>
            </w:r>
          </w:hyperlink>
        </w:p>
        <w:p w:rsidR="00F46719">
          <w:pPr>
            <w:pStyle w:val="TOC2"/>
            <w:tabs>
              <w:tab w:val="right" w:leader="dot" w:pos="9678"/>
            </w:tabs>
            <w:rPr>
              <w:noProof/>
            </w:rPr>
          </w:pPr>
          <w:hyperlink w:anchor="_Toc508279628" w:history="1">
            <w:r w:rsidRPr="00C669D1">
              <w:rPr>
                <w:rStyle w:val="Hyperlink"/>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fldChar w:fldCharType="separate"/>
            </w:r>
            <w:r w:rsidR="00910642">
              <w:rPr>
                <w:noProof/>
                <w:webHidden/>
              </w:rPr>
              <w:t>7</w:t>
            </w:r>
            <w:r>
              <w:rPr>
                <w:noProof/>
                <w:webHidden/>
              </w:rPr>
              <w:fldChar w:fldCharType="end"/>
            </w:r>
          </w:hyperlink>
        </w:p>
        <w:p w:rsidR="00F46719">
          <w:pPr>
            <w:pStyle w:val="TOC2"/>
            <w:tabs>
              <w:tab w:val="right" w:leader="dot" w:pos="9678"/>
            </w:tabs>
            <w:rPr>
              <w:noProof/>
            </w:rPr>
          </w:pPr>
          <w:hyperlink w:anchor="_Toc508279629" w:history="1">
            <w:r w:rsidRPr="00C669D1">
              <w:rPr>
                <w:rStyle w:val="Hyperlink"/>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fldChar w:fldCharType="separate"/>
            </w:r>
            <w:r w:rsidR="00910642">
              <w:rPr>
                <w:noProof/>
                <w:webHidden/>
              </w:rPr>
              <w:t>8</w:t>
            </w:r>
            <w:r>
              <w:rPr>
                <w:noProof/>
                <w:webHidden/>
              </w:rPr>
              <w:fldChar w:fldCharType="end"/>
            </w:r>
          </w:hyperlink>
        </w:p>
        <w:p w:rsidR="00F46719">
          <w:pPr>
            <w:pStyle w:val="TOC2"/>
            <w:tabs>
              <w:tab w:val="right" w:leader="dot" w:pos="9678"/>
            </w:tabs>
            <w:rPr>
              <w:noProof/>
            </w:rPr>
          </w:pPr>
          <w:hyperlink w:anchor="_Toc508279630" w:history="1">
            <w:r w:rsidRPr="00C669D1">
              <w:rPr>
                <w:rStyle w:val="Hyperlink"/>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fldChar w:fldCharType="separate"/>
            </w:r>
            <w:r w:rsidR="00910642">
              <w:rPr>
                <w:noProof/>
                <w:webHidden/>
              </w:rPr>
              <w:t>9</w:t>
            </w:r>
            <w:r>
              <w:rPr>
                <w:noProof/>
                <w:webHidden/>
              </w:rPr>
              <w:fldChar w:fldCharType="end"/>
            </w:r>
          </w:hyperlink>
        </w:p>
        <w:p w:rsidR="00F46719">
          <w:pPr>
            <w:pStyle w:val="TOC2"/>
            <w:tabs>
              <w:tab w:val="right" w:leader="dot" w:pos="9678"/>
            </w:tabs>
            <w:rPr>
              <w:noProof/>
            </w:rPr>
          </w:pPr>
          <w:hyperlink w:anchor="_Toc508279631" w:history="1">
            <w:r w:rsidRPr="00C669D1">
              <w:rPr>
                <w:rStyle w:val="Hyperlink"/>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fldChar w:fldCharType="separate"/>
            </w:r>
            <w:r w:rsidR="00910642">
              <w:rPr>
                <w:noProof/>
                <w:webHidden/>
              </w:rPr>
              <w:t>9</w:t>
            </w:r>
            <w:r>
              <w:rPr>
                <w:noProof/>
                <w:webHidden/>
              </w:rPr>
              <w:fldChar w:fldCharType="end"/>
            </w:r>
          </w:hyperlink>
        </w:p>
        <w:p w:rsidR="00F46719">
          <w:pPr>
            <w:pStyle w:val="TOC2"/>
            <w:tabs>
              <w:tab w:val="right" w:leader="dot" w:pos="9678"/>
            </w:tabs>
            <w:rPr>
              <w:noProof/>
            </w:rPr>
          </w:pPr>
          <w:hyperlink w:anchor="_Toc508279632" w:history="1">
            <w:r w:rsidRPr="00C669D1">
              <w:rPr>
                <w:rStyle w:val="Hyperlink"/>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fldChar w:fldCharType="separate"/>
            </w:r>
            <w:r w:rsidR="00910642">
              <w:rPr>
                <w:noProof/>
                <w:webHidden/>
              </w:rPr>
              <w:t>9</w:t>
            </w:r>
            <w:r>
              <w:rPr>
                <w:noProof/>
                <w:webHidden/>
              </w:rPr>
              <w:fldChar w:fldCharType="end"/>
            </w:r>
          </w:hyperlink>
        </w:p>
        <w:p w:rsidR="00F46719">
          <w:pPr>
            <w:pStyle w:val="TOC2"/>
            <w:tabs>
              <w:tab w:val="right" w:leader="dot" w:pos="9678"/>
            </w:tabs>
            <w:rPr>
              <w:noProof/>
            </w:rPr>
          </w:pPr>
          <w:hyperlink w:anchor="_Toc508279633" w:history="1">
            <w:r w:rsidRPr="00C669D1">
              <w:rPr>
                <w:rStyle w:val="Hyperlink"/>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fldChar w:fldCharType="separate"/>
            </w:r>
            <w:r w:rsidR="00910642">
              <w:rPr>
                <w:noProof/>
                <w:webHidden/>
              </w:rPr>
              <w:t>9</w:t>
            </w:r>
            <w:r>
              <w:rPr>
                <w:noProof/>
                <w:webHidden/>
              </w:rPr>
              <w:fldChar w:fldCharType="end"/>
            </w:r>
          </w:hyperlink>
        </w:p>
        <w:p w:rsidR="00F46719">
          <w:pPr>
            <w:pStyle w:val="TOC2"/>
            <w:tabs>
              <w:tab w:val="right" w:leader="dot" w:pos="9678"/>
            </w:tabs>
            <w:rPr>
              <w:noProof/>
            </w:rPr>
          </w:pPr>
          <w:hyperlink w:anchor="_Toc508279634" w:history="1">
            <w:r w:rsidRPr="00C669D1">
              <w:rPr>
                <w:rStyle w:val="Hyperlink"/>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fldChar w:fldCharType="separate"/>
            </w:r>
            <w:r w:rsidR="00910642">
              <w:rPr>
                <w:noProof/>
                <w:webHidden/>
              </w:rPr>
              <w:t>9</w:t>
            </w:r>
            <w:r>
              <w:rPr>
                <w:noProof/>
                <w:webHidden/>
              </w:rPr>
              <w:fldChar w:fldCharType="end"/>
            </w:r>
          </w:hyperlink>
        </w:p>
        <w:p w:rsidR="00F46719">
          <w:pPr>
            <w:pStyle w:val="TOC2"/>
            <w:tabs>
              <w:tab w:val="right" w:leader="dot" w:pos="9678"/>
            </w:tabs>
            <w:rPr>
              <w:noProof/>
            </w:rPr>
          </w:pPr>
          <w:hyperlink w:anchor="_Toc508279635" w:history="1">
            <w:r w:rsidRPr="00C669D1">
              <w:rPr>
                <w:rStyle w:val="Hyperlink"/>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fldChar w:fldCharType="separate"/>
            </w:r>
            <w:r w:rsidR="00910642">
              <w:rPr>
                <w:noProof/>
                <w:webHidden/>
              </w:rPr>
              <w:t>10</w:t>
            </w:r>
            <w:r>
              <w:rPr>
                <w:noProof/>
                <w:webHidden/>
              </w:rPr>
              <w:fldChar w:fldCharType="end"/>
            </w:r>
          </w:hyperlink>
        </w:p>
        <w:p w:rsidR="00F46719">
          <w:pPr>
            <w:pStyle w:val="TOC2"/>
            <w:tabs>
              <w:tab w:val="right" w:leader="dot" w:pos="9678"/>
            </w:tabs>
            <w:rPr>
              <w:noProof/>
            </w:rPr>
          </w:pPr>
          <w:hyperlink w:anchor="_Toc508279636" w:history="1">
            <w:r w:rsidRPr="00C669D1">
              <w:rPr>
                <w:rStyle w:val="Hyperlink"/>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fldChar w:fldCharType="separate"/>
            </w:r>
            <w:r w:rsidR="00910642">
              <w:rPr>
                <w:noProof/>
                <w:webHidden/>
              </w:rPr>
              <w:t>10</w:t>
            </w:r>
            <w:r>
              <w:rPr>
                <w:noProof/>
                <w:webHidden/>
              </w:rPr>
              <w:fldChar w:fldCharType="end"/>
            </w:r>
          </w:hyperlink>
        </w:p>
        <w:p w:rsidR="00F46719">
          <w:pPr>
            <w:pStyle w:val="TOC2"/>
            <w:tabs>
              <w:tab w:val="right" w:leader="dot" w:pos="9678"/>
            </w:tabs>
            <w:rPr>
              <w:noProof/>
            </w:rPr>
          </w:pPr>
          <w:hyperlink w:anchor="_Toc508279637" w:history="1">
            <w:r w:rsidRPr="00C669D1">
              <w:rPr>
                <w:rStyle w:val="Hyperlink"/>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fldChar w:fldCharType="separate"/>
            </w:r>
            <w:r w:rsidR="00910642">
              <w:rPr>
                <w:noProof/>
                <w:webHidden/>
              </w:rPr>
              <w:t>10</w:t>
            </w:r>
            <w:r>
              <w:rPr>
                <w:noProof/>
                <w:webHidden/>
              </w:rPr>
              <w:fldChar w:fldCharType="end"/>
            </w:r>
          </w:hyperlink>
        </w:p>
        <w:p w:rsidR="00F46719">
          <w:r>
            <w:rPr>
              <w:b/>
              <w:bCs/>
              <w:lang w:val="es-ES"/>
            </w:rPr>
            <w:fldChar w:fldCharType="end"/>
          </w:r>
        </w:p>
      </w:sdtContent>
    </w:sdt>
    <w:p w:rsidR="00F46719"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D3CA4" w:rsidRPr="00E74967" w:rsidP="00CB41C4">
      <w:pPr>
        <w:tabs>
          <w:tab w:val="left" w:leader="underscore" w:pos="9639"/>
        </w:tabs>
        <w:spacing w:after="0" w:line="240" w:lineRule="auto"/>
        <w:jc w:val="both"/>
        <w:rPr>
          <w:rFonts w:cs="Calibri"/>
        </w:rPr>
      </w:pP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p>
    <w:p w:rsidR="007D3CA4" w:rsidRPr="00E74967" w:rsidP="007D3CA4">
      <w:pPr>
        <w:spacing w:after="0" w:line="240" w:lineRule="auto"/>
        <w:jc w:val="both"/>
        <w:rPr>
          <w:rFonts w:cs="Calibri"/>
        </w:rPr>
      </w:pPr>
    </w:p>
    <w:p w:rsidR="007D1E76"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Pr="000C3365" w:rsidR="00E00323">
        <w:rPr>
          <w:rFonts w:asciiTheme="minorHAnsi" w:hAnsiTheme="minorHAnsi" w:cstheme="minorHAnsi"/>
          <w:b/>
          <w:color w:val="auto"/>
          <w:sz w:val="22"/>
        </w:rPr>
        <w:t>orama Económico y Financiero:</w:t>
      </w:r>
      <w:bookmarkEnd w:id="2"/>
    </w:p>
    <w:p w:rsidR="007D1E76" w:rsidRPr="00E74967"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Pr="00E74967" w:rsidR="00E00323">
        <w:rPr>
          <w:rFonts w:cs="Calibri"/>
        </w:rPr>
        <w:t xml:space="preserve"> a nivel local como federal.</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r w:rsidRPr="00BB216F">
        <w:rPr>
          <w:rFonts w:ascii="Arial" w:hAnsi="Arial" w:cs="Arial"/>
          <w:sz w:val="20"/>
          <w:szCs w:val="20"/>
        </w:rPr>
        <w:t>Vivah</w:t>
      </w:r>
      <w:r w:rsidRPr="00BB216F">
        <w:rPr>
          <w:rFonts w:ascii="Arial" w:hAnsi="Arial" w:cs="Arial"/>
          <w:sz w:val="20"/>
          <w:szCs w:val="20"/>
        </w:rPr>
        <w:t>”.</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7D3CA4" w:rsidRPr="00BB216F" w:rsidP="007D3CA4">
      <w:pPr>
        <w:spacing w:after="0" w:line="240" w:lineRule="auto"/>
        <w:jc w:val="both"/>
        <w:rPr>
          <w:rFonts w:ascii="Arial" w:hAnsi="Arial" w:cs="Arial"/>
          <w:sz w:val="20"/>
          <w:szCs w:val="20"/>
          <w:lang w:val="es-ES"/>
        </w:rPr>
      </w:pPr>
      <w:r w:rsidRPr="00BB216F">
        <w:rPr>
          <w:rFonts w:ascii="Arial" w:hAnsi="Arial" w:cs="Arial"/>
          <w:sz w:val="20"/>
          <w:szCs w:val="20"/>
        </w:rPr>
        <w:t>El IMUVII desde su creación, no recibe subsidio alguno por parte del Gobierno Municipal para cubrir su gasto corriente u operativo; éste es cubierto con la recuperación de</w:t>
      </w:r>
      <w:r w:rsidRPr="00BB216F">
        <w:rPr>
          <w:rFonts w:ascii="Arial" w:hAnsi="Arial" w:cs="Arial"/>
          <w:sz w:val="20"/>
          <w:szCs w:val="20"/>
          <w:lang w:val="es-ES"/>
        </w:rPr>
        <w:t xml:space="preserve"> los créditos otorgados para vivienda, y que son las mencionadas líneas arriba.</w:t>
      </w:r>
    </w:p>
    <w:p w:rsidR="007D3CA4" w:rsidRPr="00BB216F" w:rsidP="007D3CA4">
      <w:pPr>
        <w:spacing w:after="0" w:line="240" w:lineRule="auto"/>
        <w:jc w:val="both"/>
        <w:rPr>
          <w:rFonts w:ascii="Arial" w:hAnsi="Arial" w:cs="Arial"/>
          <w:sz w:val="20"/>
          <w:szCs w:val="20"/>
          <w:lang w:val="es-ES"/>
        </w:rPr>
      </w:pPr>
      <w:r w:rsidRPr="00BB216F">
        <w:rPr>
          <w:rFonts w:ascii="Arial" w:hAnsi="Arial" w:cs="Arial"/>
          <w:sz w:val="20"/>
          <w:szCs w:val="20"/>
          <w:lang w:val="es-ES"/>
        </w:rPr>
        <w:t>A finales del año 2009 y al no contar con reserva territorial para seguir atendiendo la demanda de vivienda en el Municipio, se realiza la compra a plazos de 40 hectáreas de terreno (enero 2010 a junio 2013). Esta situación ha originado que de la totalidad de los ingresos que recibe el IMUVII, se destine la mayor parte de ellos al pago de esta reserva, quedando muy poco recurso para invertirlo en su desarrollo.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No se ha recibido apoyo económico proveniente del Ramo 33 para gasto de inversión, por lo  mismo ha sido insuficiente para poder atender la demanda de vivienda que existe en el Municipio, actualmente IMUVII tiene más de 4,000 expedientes de solicitantes de una vivienda (pie de casa), sin contar en este momento con las condiciones para dar atención a tal demanda es decir, reserva territorial habilitada para vivienda.</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r w:rsidRPr="00BB216F">
        <w:rPr>
          <w:rFonts w:ascii="Arial" w:hAnsi="Arial" w:cs="Arial"/>
          <w:sz w:val="20"/>
          <w:szCs w:val="20"/>
        </w:rPr>
        <w:t>Sedesol</w:t>
      </w:r>
      <w:r w:rsidRPr="00BB216F">
        <w:rPr>
          <w:rFonts w:ascii="Arial" w:hAnsi="Arial" w:cs="Arial"/>
          <w:sz w:val="20"/>
          <w:szCs w:val="20"/>
        </w:rPr>
        <w:t xml:space="preserve"> y </w:t>
      </w:r>
      <w:r w:rsidRPr="00BB216F">
        <w:rPr>
          <w:rFonts w:ascii="Arial" w:hAnsi="Arial" w:cs="Arial"/>
          <w:sz w:val="20"/>
          <w:szCs w:val="20"/>
        </w:rPr>
        <w:t>Fonhapo</w:t>
      </w:r>
      <w:r w:rsidRPr="00BB216F">
        <w:rPr>
          <w:rFonts w:ascii="Arial" w:hAnsi="Arial" w:cs="Arial"/>
          <w:sz w:val="20"/>
          <w:szCs w:val="20"/>
        </w:rPr>
        <w:t xml:space="preserve">; por lo que esto influirá en las decisiones que se tomen. </w:t>
      </w:r>
    </w:p>
    <w:p w:rsidR="007D3CA4" w:rsidRPr="00E74967" w:rsidP="007D3CA4">
      <w:pPr>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Pr="000C3365" w:rsidR="00E00323">
        <w:rPr>
          <w:rFonts w:asciiTheme="minorHAnsi" w:hAnsiTheme="minorHAnsi" w:cstheme="minorHAnsi"/>
          <w:b/>
          <w:color w:val="auto"/>
          <w:sz w:val="22"/>
        </w:rPr>
        <w:t>ción e Historia:</w:t>
      </w:r>
      <w:bookmarkEnd w:id="3"/>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3CA4" w:rsidRPr="00BB216F" w:rsidP="007D3CA4">
      <w:pPr>
        <w:pStyle w:val="BodyText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w:t>
      </w:r>
      <w:r w:rsidRPr="00BB216F">
        <w:rPr>
          <w:rFonts w:ascii="Arial" w:hAnsi="Arial" w:cs="Arial"/>
          <w:bCs/>
        </w:rPr>
        <w:t>del año 2003, entrando en vigor al cuarto día de su publicación en el Periódico Oficial de Gobierno del Estado.</w:t>
      </w:r>
    </w:p>
    <w:p w:rsidR="007D1E76" w:rsidRPr="007D3CA4" w:rsidP="00CB41C4">
      <w:pPr>
        <w:tabs>
          <w:tab w:val="left" w:leader="underscore" w:pos="9639"/>
        </w:tabs>
        <w:spacing w:after="0" w:line="240" w:lineRule="auto"/>
        <w:jc w:val="both"/>
        <w:rPr>
          <w:rFonts w:cs="Calibri"/>
          <w:lang w:val="es-ES"/>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3CA4" w:rsidRPr="00E74967" w:rsidP="007D3CA4">
      <w:pPr>
        <w:pStyle w:val="Header"/>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municipales</w:t>
      </w:r>
      <w:r w:rsidRPr="00BB216F">
        <w:rPr>
          <w:rFonts w:ascii="Arial" w:hAnsi="Arial" w:cs="Arial"/>
          <w:bCs/>
          <w:sz w:val="20"/>
          <w:szCs w:val="20"/>
        </w:rPr>
        <w:t>VII</w:t>
      </w:r>
      <w:r w:rsidRPr="00BB216F">
        <w:rPr>
          <w:rFonts w:ascii="Arial" w:hAnsi="Arial" w:cs="Arial"/>
          <w:bCs/>
          <w:sz w:val="20"/>
          <w:szCs w:val="20"/>
        </w:rPr>
        <w:t>,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7D3CA4" w:rsidP="007D3CA4">
      <w:pPr>
        <w:pStyle w:val="Header"/>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Pr="000C3365" w:rsidR="00E00323">
        <w:rPr>
          <w:rFonts w:asciiTheme="minorHAnsi" w:hAnsiTheme="minorHAnsi" w:cstheme="minorHAnsi"/>
          <w:b/>
          <w:color w:val="auto"/>
          <w:sz w:val="22"/>
        </w:rPr>
        <w:t>Organización y Objeto Social:</w:t>
      </w:r>
      <w:bookmarkEnd w:id="4"/>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CB41C4" w:rsidP="007D3CA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Pr="00E74967" w:rsidR="00CB41C4">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7D3CA4" w:rsidRPr="00BB216F" w:rsidP="007D3CA4">
      <w:pPr>
        <w:jc w:val="both"/>
        <w:rPr>
          <w:rFonts w:ascii="Arial" w:hAnsi="Arial" w:cs="Arial"/>
          <w:sz w:val="20"/>
          <w:szCs w:val="20"/>
        </w:rPr>
      </w:pPr>
      <w:r w:rsidRPr="00BB216F">
        <w:rPr>
          <w:rFonts w:ascii="Arial" w:hAnsi="Arial" w:cs="Arial"/>
          <w:sz w:val="20"/>
          <w:szCs w:val="20"/>
        </w:rPr>
        <w:t>Enero a Diciembre de 201</w:t>
      </w:r>
      <w:r>
        <w:rPr>
          <w:rFonts w:ascii="Arial" w:hAnsi="Arial" w:cs="Arial"/>
          <w:sz w:val="20"/>
          <w:szCs w:val="20"/>
        </w:rPr>
        <w:t>9</w:t>
      </w:r>
      <w:r w:rsidRPr="00BB216F">
        <w:rPr>
          <w:rFonts w:ascii="Arial" w:hAnsi="Arial" w:cs="Arial"/>
          <w:sz w:val="20"/>
          <w:szCs w:val="20"/>
        </w:rPr>
        <w:t>.</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3CA4" w:rsidP="00CB41C4">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7D3CA4" w:rsidP="00CB41C4">
      <w:pPr>
        <w:tabs>
          <w:tab w:val="left" w:leader="underscore" w:pos="9639"/>
        </w:tabs>
        <w:spacing w:after="0" w:line="240" w:lineRule="auto"/>
        <w:jc w:val="both"/>
        <w:rPr>
          <w:rFonts w:cs="Calibri"/>
          <w:b/>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Pr="00E74967" w:rsidR="00657009">
        <w:rPr>
          <w:rFonts w:cs="Calibri"/>
        </w:rPr>
        <w:t>R</w:t>
      </w:r>
      <w:r w:rsidRPr="00E74967">
        <w:rPr>
          <w:rFonts w:cs="Calibri"/>
        </w:rPr>
        <w:t>evelar el tipo de contribuciones que esté obligado a pagar o retener.</w:t>
      </w:r>
    </w:p>
    <w:p w:rsidR="007D3CA4" w:rsidRPr="00BB216F" w:rsidP="007D3CA4">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7D3CA4" w:rsidRPr="00BB216F" w:rsidP="007D3CA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7D3CA4" w:rsidRPr="00BB216F" w:rsidP="007D3CA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7D3CA4" w:rsidRPr="00E74967" w:rsidP="007D3CA4">
      <w:pPr>
        <w:tabs>
          <w:tab w:val="left" w:leader="underscore" w:pos="9639"/>
        </w:tabs>
        <w:spacing w:after="0" w:line="240" w:lineRule="auto"/>
        <w:jc w:val="both"/>
        <w:rPr>
          <w:rFonts w:cs="Calibri"/>
        </w:rPr>
      </w:pPr>
    </w:p>
    <w:p w:rsidR="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BC0C3F" w:rsidRPr="00E74967" w:rsidP="00CB41C4">
      <w:pPr>
        <w:tabs>
          <w:tab w:val="left" w:leader="underscore" w:pos="9639"/>
        </w:tabs>
        <w:spacing w:after="0" w:line="240" w:lineRule="auto"/>
        <w:jc w:val="both"/>
        <w:rPr>
          <w:rFonts w:cs="Calibri"/>
        </w:rPr>
      </w:pPr>
    </w:p>
    <w:p w:rsidR="007D3CA4" w:rsidRPr="00A06487" w:rsidP="00CB41C4">
      <w:pPr>
        <w:tabs>
          <w:tab w:val="left" w:leader="underscore" w:pos="9639"/>
        </w:tabs>
        <w:spacing w:after="0" w:line="240" w:lineRule="auto"/>
        <w:jc w:val="both"/>
        <w:rPr>
          <w:rFonts w:cs="Calibri"/>
        </w:rPr>
      </w:pPr>
      <w:r>
        <w:rPr>
          <w:rFonts w:cs="Calibri"/>
          <w:noProof/>
          <w:lang w:eastAsia="es-MX"/>
        </w:rPr>
        <w:drawing>
          <wp:inline distT="0" distB="0" distL="0" distR="0">
            <wp:extent cx="5929348" cy="4408227"/>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xmlns:r="http://schemas.openxmlformats.org/officeDocument/2006/relationships" r:embed="rId9" cstate="print"/>
                    <a:srcRect l="16427" t="8087" r="17397" b="4339"/>
                    <a:stretch>
                      <a:fillRect/>
                    </a:stretch>
                  </pic:blipFill>
                  <pic:spPr bwMode="auto">
                    <a:xfrm>
                      <a:off x="0" y="0"/>
                      <a:ext cx="5932712" cy="4410728"/>
                    </a:xfrm>
                    <a:prstGeom prst="rect">
                      <a:avLst/>
                    </a:prstGeom>
                    <a:noFill/>
                    <a:ln w="9525">
                      <a:noFill/>
                      <a:miter lim="800000"/>
                      <a:headEnd/>
                      <a:tailEnd/>
                    </a:ln>
                  </pic:spPr>
                </pic:pic>
              </a:graphicData>
            </a:graphic>
          </wp:inline>
        </w:drawing>
      </w:r>
    </w:p>
    <w:p w:rsidR="007D3CA4" w:rsidP="00CB41C4">
      <w:pPr>
        <w:tabs>
          <w:tab w:val="left" w:leader="underscore" w:pos="9639"/>
        </w:tabs>
        <w:spacing w:after="0" w:line="240" w:lineRule="auto"/>
        <w:jc w:val="both"/>
        <w:rPr>
          <w:rFonts w:cs="Calibri"/>
          <w:b/>
        </w:rPr>
      </w:pPr>
    </w:p>
    <w:p w:rsidR="007D3CA4" w:rsidP="00CB41C4">
      <w:pPr>
        <w:tabs>
          <w:tab w:val="left" w:leader="underscore" w:pos="9639"/>
        </w:tabs>
        <w:spacing w:after="0" w:line="240" w:lineRule="auto"/>
        <w:jc w:val="both"/>
        <w:rPr>
          <w:rFonts w:cs="Calibri"/>
          <w:b/>
        </w:rPr>
      </w:pPr>
    </w:p>
    <w:p w:rsidR="007D3CA4" w:rsidP="00CB41C4">
      <w:pPr>
        <w:tabs>
          <w:tab w:val="left" w:leader="underscore" w:pos="9639"/>
        </w:tabs>
        <w:spacing w:after="0" w:line="240" w:lineRule="auto"/>
        <w:jc w:val="both"/>
        <w:rPr>
          <w:rFonts w:cs="Calibri"/>
          <w:b/>
        </w:rPr>
      </w:pPr>
    </w:p>
    <w:p w:rsidR="007D3CA4" w:rsidP="00CB41C4">
      <w:pPr>
        <w:tabs>
          <w:tab w:val="left" w:leader="underscore" w:pos="9639"/>
        </w:tabs>
        <w:spacing w:after="0" w:line="240" w:lineRule="auto"/>
        <w:jc w:val="both"/>
        <w:rPr>
          <w:rFonts w:cs="Calibri"/>
          <w:b/>
        </w:rPr>
      </w:pPr>
    </w:p>
    <w:p w:rsidR="007D1E76" w:rsidRPr="00E74967"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sidR="00657009">
        <w:rPr>
          <w:rFonts w:cs="Calibri"/>
        </w:rPr>
        <w:t>fideicomisario</w:t>
      </w:r>
      <w:r w:rsidRPr="00E74967">
        <w:rPr>
          <w:rFonts w:cs="Calibri"/>
        </w:rPr>
        <w:t>.</w:t>
      </w:r>
    </w:p>
    <w:p w:rsidR="007D3CA4" w:rsidRPr="00BB216F" w:rsidP="007D3CA4">
      <w:pPr>
        <w:spacing w:after="0" w:line="240" w:lineRule="auto"/>
        <w:jc w:val="both"/>
        <w:rPr>
          <w:rFonts w:ascii="Arial" w:hAnsi="Arial" w:cs="Arial"/>
        </w:rPr>
      </w:pPr>
      <w:r w:rsidRPr="00BB216F">
        <w:rPr>
          <w:rFonts w:ascii="Arial" w:hAnsi="Arial" w:cs="Arial"/>
          <w:sz w:val="20"/>
          <w:szCs w:val="20"/>
        </w:rPr>
        <w:t>No Aplica</w:t>
      </w:r>
    </w:p>
    <w:p w:rsidR="007D1E76" w:rsidP="00CB41C4">
      <w:pPr>
        <w:tabs>
          <w:tab w:val="left" w:leader="underscore" w:pos="9639"/>
        </w:tabs>
        <w:spacing w:after="0" w:line="240" w:lineRule="auto"/>
        <w:jc w:val="both"/>
        <w:rPr>
          <w:rFonts w:cs="Calibri"/>
        </w:rPr>
      </w:pPr>
    </w:p>
    <w:p w:rsidR="00CB41C4"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Pr="000C3365" w:rsidR="00E00323">
        <w:rPr>
          <w:rFonts w:asciiTheme="minorHAnsi" w:hAnsiTheme="minorHAnsi" w:cstheme="minorHAnsi"/>
          <w:b/>
          <w:color w:val="auto"/>
          <w:sz w:val="22"/>
        </w:rPr>
        <w:t>n de los Estados Financieros:</w:t>
      </w:r>
      <w:bookmarkEnd w:id="5"/>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7D3CA4" w:rsidRPr="00E74967" w:rsidP="007D3CA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w:t>
      </w:r>
      <w:r>
        <w:rPr>
          <w:rFonts w:cs="Calibri"/>
        </w:rPr>
        <w:t>, LDF</w:t>
      </w:r>
      <w:r w:rsidRPr="00E74967">
        <w:rPr>
          <w:rFonts w:cs="Calibri"/>
        </w:rPr>
        <w:t xml:space="preserve"> y las disposiciones legales aplicables.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3CA4" w:rsidRPr="00BB216F" w:rsidP="007D3CA4">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02FA4" w:rsidP="00102FA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7D3CA4"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*Plan de implementación:</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0C3365">
      <w:pPr>
        <w:pStyle w:val="Heading2"/>
        <w:rPr>
          <w:rFonts w:cs="Calibri"/>
          <w:b/>
        </w:rPr>
      </w:pPr>
      <w:bookmarkStart w:id="6" w:name="_Toc508279626"/>
      <w:r w:rsidRPr="000C3365">
        <w:rPr>
          <w:rFonts w:asciiTheme="minorHAnsi" w:hAnsiTheme="minorHAnsi" w:cstheme="minorHAnsi"/>
          <w:b/>
          <w:color w:val="auto"/>
          <w:sz w:val="22"/>
        </w:rPr>
        <w:t>6. Políticas de</w:t>
      </w:r>
      <w:r w:rsidRPr="000C3365" w:rsidR="00E00323">
        <w:rPr>
          <w:rFonts w:asciiTheme="minorHAnsi" w:hAnsiTheme="minorHAnsi" w:cstheme="minorHAnsi"/>
          <w:b/>
          <w:color w:val="auto"/>
          <w:sz w:val="22"/>
        </w:rPr>
        <w:t xml:space="preserve"> Contabilidad Significativas:</w:t>
      </w:r>
      <w:bookmarkEnd w:id="6"/>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Pr="00E74967" w:rsidR="00657009">
        <w:rPr>
          <w:rFonts w:cs="Calibri"/>
        </w:rPr>
        <w:t>P</w:t>
      </w:r>
      <w:r w:rsidRPr="00E74967">
        <w:rPr>
          <w:rFonts w:cs="Calibri"/>
        </w:rPr>
        <w:t>atrimonio y las razones de dicha elección. Así como informar de la desconexión o reconexión inflacionaria:</w:t>
      </w:r>
    </w:p>
    <w:p w:rsidR="007D3CA4" w:rsidRPr="00BB216F" w:rsidP="007D3CA4">
      <w:pPr>
        <w:jc w:val="both"/>
        <w:rPr>
          <w:rFonts w:ascii="Arial" w:hAnsi="Arial" w:cs="Arial"/>
          <w:sz w:val="20"/>
          <w:szCs w:val="20"/>
        </w:rPr>
      </w:pPr>
      <w:r>
        <w:rPr>
          <w:rFonts w:ascii="Arial" w:hAnsi="Arial" w:cs="Arial"/>
          <w:sz w:val="20"/>
          <w:szCs w:val="20"/>
        </w:rPr>
        <w:t xml:space="preserve">Se </w:t>
      </w:r>
      <w:r w:rsidR="00B27857">
        <w:rPr>
          <w:rFonts w:ascii="Arial" w:hAnsi="Arial" w:cs="Arial"/>
          <w:sz w:val="20"/>
          <w:szCs w:val="20"/>
        </w:rPr>
        <w:t xml:space="preserve">aplica conforme a las reglas de registro y valoración del patrimonio.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3CA4" w:rsidRPr="00BB216F" w:rsidP="007D3CA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3CA4" w:rsidRPr="00BB216F" w:rsidP="007D3CA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3CA4" w:rsidRPr="00BB216F" w:rsidP="007D3CA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w:t>
      </w:r>
      <w:r w:rsidR="00586FDF">
        <w:rPr>
          <w:rFonts w:asciiTheme="minorHAnsi" w:hAnsiTheme="minorHAnsi" w:cstheme="minorHAnsi"/>
          <w:sz w:val="24"/>
          <w:szCs w:val="24"/>
        </w:rPr>
        <w:t>cuenta con reserva actuarial.</w:t>
      </w:r>
    </w:p>
    <w:p w:rsidR="00B27857"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B27857" w:rsidRPr="00BB216F" w:rsidP="00B27857">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3CA4" w:rsidRPr="00BB216F" w:rsidP="007D3CA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7D1E76" w:rsidRPr="00E74967" w:rsidP="00CB41C4">
      <w:pPr>
        <w:tabs>
          <w:tab w:val="left" w:leader="underscore" w:pos="9639"/>
        </w:tabs>
        <w:spacing w:after="0" w:line="240" w:lineRule="auto"/>
        <w:jc w:val="both"/>
        <w:rPr>
          <w:rFonts w:cs="Calibri"/>
        </w:rPr>
      </w:pPr>
    </w:p>
    <w:p w:rsidR="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3CA4" w:rsidRPr="00E74967" w:rsidP="00CB41C4">
      <w:pPr>
        <w:tabs>
          <w:tab w:val="left" w:leader="underscore" w:pos="9639"/>
        </w:tabs>
        <w:spacing w:after="0" w:line="240" w:lineRule="auto"/>
        <w:jc w:val="both"/>
        <w:rPr>
          <w:rFonts w:cs="Calibri"/>
        </w:rPr>
      </w:pPr>
    </w:p>
    <w:p w:rsidR="007D3CA4" w:rsidRPr="00BB216F" w:rsidP="007D3CA4">
      <w:pPr>
        <w:jc w:val="both"/>
        <w:rPr>
          <w:rFonts w:ascii="Arial" w:hAnsi="Arial" w:cs="Arial"/>
          <w:sz w:val="20"/>
          <w:szCs w:val="20"/>
        </w:rPr>
      </w:pPr>
      <w:r>
        <w:rPr>
          <w:rFonts w:ascii="Arial" w:hAnsi="Arial" w:cs="Arial"/>
          <w:sz w:val="20"/>
          <w:szCs w:val="20"/>
        </w:rPr>
        <w:t>A partir del ejercicio 2016 se realizo la aplicación conforme a ley del reconocimiento de ingresos presupuestales-contables, por lo cual se vio afectado el patrimonio y resultados de ejercicios anteriores</w:t>
      </w:r>
      <w:r w:rsidR="00586FDF">
        <w:rPr>
          <w:rFonts w:ascii="Arial" w:hAnsi="Arial" w:cs="Arial"/>
          <w:sz w:val="20"/>
          <w:szCs w:val="20"/>
        </w:rPr>
        <w:t xml:space="preserve">, esto conforme a las normas y metodología para la determinación de los momentos contables de ingresos. </w:t>
      </w:r>
      <w:r>
        <w:rPr>
          <w:rFonts w:ascii="Arial" w:hAnsi="Arial" w:cs="Arial"/>
          <w:sz w:val="20"/>
          <w:szCs w:val="20"/>
        </w:rPr>
        <w:t xml:space="preserve">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w:t>
      </w:r>
      <w:r w:rsidR="00586FDF">
        <w:rPr>
          <w:rFonts w:asciiTheme="minorHAnsi" w:hAnsiTheme="minorHAnsi" w:cstheme="minorHAnsi"/>
          <w:sz w:val="24"/>
          <w:szCs w:val="24"/>
        </w:rPr>
        <w:t xml:space="preserve">conforme a lo establecido </w:t>
      </w:r>
      <w:r w:rsidR="005D4A9B">
        <w:rPr>
          <w:rFonts w:asciiTheme="minorHAnsi" w:hAnsiTheme="minorHAnsi" w:cstheme="minorHAnsi"/>
          <w:sz w:val="24"/>
          <w:szCs w:val="24"/>
        </w:rPr>
        <w:t xml:space="preserve">en la Armonizacion contable. </w:t>
      </w:r>
    </w:p>
    <w:p w:rsidR="00B27857" w:rsidRPr="00E74967" w:rsidP="00CB41C4">
      <w:pPr>
        <w:tabs>
          <w:tab w:val="left" w:leader="underscore" w:pos="9639"/>
        </w:tabs>
        <w:spacing w:after="0" w:line="240" w:lineRule="auto"/>
        <w:jc w:val="both"/>
        <w:rPr>
          <w:rFonts w:cs="Calibri"/>
        </w:rPr>
      </w:pPr>
    </w:p>
    <w:p w:rsidR="007D3CA4" w:rsidRPr="00B27857" w:rsidP="00B27857">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483FE0"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Se realiza depuración de saldos anualmente y c</w:t>
      </w:r>
      <w:r w:rsidR="005D4A9B">
        <w:rPr>
          <w:rFonts w:asciiTheme="minorHAnsi" w:hAnsiTheme="minorHAnsi" w:cstheme="minorHAnsi"/>
          <w:sz w:val="24"/>
          <w:szCs w:val="24"/>
        </w:rPr>
        <w:t xml:space="preserve">ancelación de saldos de cuentas por cobrar derivadas de los créditos a los beneficiarios, esto último derivado de sentencia o renuncia voluntaria.  </w:t>
      </w:r>
    </w:p>
    <w:p w:rsidR="007D1E76" w:rsidRPr="00E74967" w:rsidP="00CB41C4">
      <w:pPr>
        <w:tabs>
          <w:tab w:val="left" w:leader="underscore" w:pos="9639"/>
        </w:tabs>
        <w:spacing w:after="0" w:line="240" w:lineRule="auto"/>
        <w:jc w:val="both"/>
        <w:rPr>
          <w:rFonts w:cs="Calibri"/>
        </w:rPr>
      </w:pPr>
    </w:p>
    <w:p w:rsidR="00E00323"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Pr="000C3365" w:rsidR="00E00323">
        <w:rPr>
          <w:rFonts w:asciiTheme="minorHAnsi" w:hAnsiTheme="minorHAnsi" w:cstheme="minorHAnsi"/>
          <w:b/>
          <w:color w:val="auto"/>
          <w:sz w:val="22"/>
        </w:rPr>
        <w:t>tección por Riesgo Cambiario:</w:t>
      </w:r>
      <w:bookmarkEnd w:id="7"/>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Pr="00E74967" w:rsidR="00E00323">
        <w:rPr>
          <w:rFonts w:cs="Calibri"/>
        </w:rPr>
        <w:t>aciones en el tipo de cambio.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Pr="000C3365" w:rsidR="00E00323">
        <w:rPr>
          <w:rFonts w:asciiTheme="minorHAnsi" w:hAnsiTheme="minorHAnsi" w:cstheme="minorHAnsi"/>
          <w:b/>
          <w:color w:val="auto"/>
          <w:sz w:val="22"/>
        </w:rPr>
        <w:t>Reporte Analítico del Activo:</w:t>
      </w:r>
      <w:bookmarkEnd w:id="8"/>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Debe mostrar la siguien</w:t>
      </w:r>
      <w:r w:rsidRPr="00E74967" w:rsidR="00E00323">
        <w:rPr>
          <w:rFonts w:cs="Calibri"/>
        </w:rPr>
        <w:t>te información:</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Pr="00E74967" w:rsidR="001973A2">
        <w:rPr>
          <w:rFonts w:cs="Calibri"/>
        </w:rPr>
        <w:t>s</w:t>
      </w:r>
      <w:r w:rsidRPr="00E74967">
        <w:rPr>
          <w:rFonts w:cs="Calibri"/>
        </w:rPr>
        <w:t>gos por tipo de cambio o tipo de interés de las inversiones financieras:</w:t>
      </w:r>
    </w:p>
    <w:p w:rsidR="00B27857"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5D4A9B" w:rsidRPr="00E74967" w:rsidP="00CB41C4">
      <w:pPr>
        <w:tabs>
          <w:tab w:val="left" w:leader="underscore" w:pos="9639"/>
        </w:tabs>
        <w:spacing w:after="0" w:line="240" w:lineRule="auto"/>
        <w:jc w:val="both"/>
        <w:rPr>
          <w:rFonts w:cs="Calibri"/>
          <w:b/>
        </w:rPr>
      </w:pPr>
    </w:p>
    <w:p w:rsidR="007D1E76" w:rsidRPr="00E74967"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483FE0">
        <w:rPr>
          <w:rFonts w:asciiTheme="minorHAnsi" w:hAnsiTheme="minorHAnsi" w:cstheme="minorHAnsi"/>
          <w:sz w:val="24"/>
          <w:szCs w:val="24"/>
        </w:rPr>
        <w:t xml:space="preserve">, no han habido circunstancias que afecten el activo.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B27857" w:rsidRPr="005D4A9B" w:rsidP="00B27857">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w:t>
      </w:r>
      <w:r w:rsidRPr="005D4A9B" w:rsidR="00483FE0">
        <w:rPr>
          <w:rFonts w:asciiTheme="minorHAnsi" w:hAnsiTheme="minorHAnsi" w:cstheme="minorHAnsi"/>
          <w:sz w:val="24"/>
          <w:szCs w:val="24"/>
        </w:rPr>
        <w:t>, no ha</w:t>
      </w:r>
      <w:r w:rsidR="005D4A9B">
        <w:rPr>
          <w:rFonts w:asciiTheme="minorHAnsi" w:hAnsiTheme="minorHAnsi" w:cstheme="minorHAnsi"/>
          <w:sz w:val="24"/>
          <w:szCs w:val="24"/>
        </w:rPr>
        <w:t>n habido</w:t>
      </w:r>
      <w:r w:rsidRPr="005D4A9B" w:rsidR="00483FE0">
        <w:rPr>
          <w:rFonts w:asciiTheme="minorHAnsi" w:hAnsiTheme="minorHAnsi" w:cstheme="minorHAnsi"/>
          <w:sz w:val="24"/>
          <w:szCs w:val="24"/>
        </w:rPr>
        <w:t xml:space="preserve"> desmantelamiento de activos,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B27857"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5E231E"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Pr="00E74967" w:rsidR="005E231E">
        <w:rPr>
          <w:rFonts w:cs="Calibri"/>
        </w:rPr>
        <w:t>dros comparativos como sigue: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B27857"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hay participación de patrimonio indirecto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se tienen inversiones en empresas de participación mayoritaria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B27857" w:rsidP="00B27857">
      <w:pPr>
        <w:tabs>
          <w:tab w:val="left" w:leader="underscore" w:pos="9639"/>
        </w:tabs>
        <w:spacing w:after="0" w:line="240" w:lineRule="auto"/>
        <w:jc w:val="both"/>
        <w:rPr>
          <w:rFonts w:asciiTheme="minorHAnsi" w:hAnsiTheme="minorHAnsi" w:cstheme="minorHAnsi"/>
          <w:sz w:val="24"/>
          <w:szCs w:val="24"/>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B27857" w:rsidP="00B27857">
      <w:pPr>
        <w:tabs>
          <w:tab w:val="left" w:leader="underscore" w:pos="9639"/>
        </w:tabs>
        <w:spacing w:after="0" w:line="240" w:lineRule="auto"/>
        <w:jc w:val="both"/>
        <w:rPr>
          <w:rFonts w:asciiTheme="minorHAnsi" w:hAnsiTheme="minorHAnsi" w:cstheme="minorHAnsi"/>
          <w:sz w:val="24"/>
          <w:szCs w:val="24"/>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Pr="000C3365" w:rsidR="005E231E">
        <w:rPr>
          <w:rFonts w:asciiTheme="minorHAnsi" w:hAnsiTheme="minorHAnsi" w:cstheme="minorHAnsi"/>
          <w:b/>
          <w:color w:val="auto"/>
          <w:sz w:val="22"/>
        </w:rPr>
        <w:t>comisos, Mandatos y Análogos:</w:t>
      </w:r>
      <w:bookmarkEnd w:id="9"/>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9E68A5"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9E68A5"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w:t>
      </w:r>
      <w:r w:rsidR="00910642">
        <w:rPr>
          <w:rFonts w:asciiTheme="minorHAnsi" w:hAnsiTheme="minorHAnsi" w:cstheme="minorHAnsi"/>
          <w:sz w:val="24"/>
          <w:szCs w:val="24"/>
        </w:rPr>
        <w:t>Diciembre</w:t>
      </w:r>
      <w:r>
        <w:rPr>
          <w:rFonts w:asciiTheme="minorHAnsi" w:hAnsiTheme="minorHAnsi" w:cstheme="minorHAnsi"/>
          <w:sz w:val="24"/>
          <w:szCs w:val="24"/>
        </w:rPr>
        <w:t xml:space="preserve"> </w:t>
      </w:r>
      <w:r w:rsidR="00910642">
        <w:rPr>
          <w:rFonts w:asciiTheme="minorHAnsi" w:hAnsiTheme="minorHAnsi" w:cstheme="minorHAnsi"/>
          <w:sz w:val="24"/>
          <w:szCs w:val="24"/>
        </w:rPr>
        <w:t>fue mayor</w:t>
      </w:r>
      <w:r>
        <w:rPr>
          <w:rFonts w:asciiTheme="minorHAnsi" w:hAnsiTheme="minorHAnsi" w:cstheme="minorHAnsi"/>
          <w:sz w:val="24"/>
          <w:szCs w:val="24"/>
        </w:rPr>
        <w:t xml:space="preserve"> conforme a lo proyectado en el pronóstico de ingresos. </w:t>
      </w:r>
    </w:p>
    <w:p w:rsidR="009E68A5"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2039A5"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Pr="000C3365" w:rsidR="005E231E">
        <w:rPr>
          <w:rFonts w:asciiTheme="minorHAnsi" w:hAnsiTheme="minorHAnsi" w:cstheme="minorHAnsi"/>
          <w:b/>
          <w:color w:val="auto"/>
          <w:sz w:val="22"/>
        </w:rPr>
        <w:t>eporte Analítico de la Deuda:</w:t>
      </w:r>
      <w:bookmarkEnd w:id="11"/>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Pr="00E74967" w:rsidR="001973A2">
        <w:rPr>
          <w:rFonts w:cs="Calibri"/>
        </w:rPr>
        <w:t>n</w:t>
      </w:r>
      <w:r w:rsidRPr="00E74967">
        <w:rPr>
          <w:rFonts w:cs="Calibri"/>
        </w:rPr>
        <w:t xml:space="preserve"> intereses, comisiones, tasa, perfil de vencimiento y otros gastos de la deuda.</w:t>
      </w:r>
    </w:p>
    <w:p w:rsidR="007D1E76" w:rsidRPr="00E74967" w:rsidP="00CB41C4">
      <w:pPr>
        <w:tabs>
          <w:tab w:val="left" w:leader="underscore" w:pos="9639"/>
        </w:tabs>
        <w:spacing w:after="0" w:line="240" w:lineRule="auto"/>
        <w:jc w:val="both"/>
        <w:rPr>
          <w:rFonts w:cs="Calibri"/>
        </w:rPr>
      </w:pPr>
      <w:r w:rsidRPr="00E74967">
        <w:rPr>
          <w:rFonts w:cs="Calibri"/>
        </w:rPr>
        <w:t xml:space="preserve">* Se </w:t>
      </w:r>
      <w:r w:rsidRPr="00E74967" w:rsidR="000C3365">
        <w:rPr>
          <w:rFonts w:cs="Calibri"/>
        </w:rPr>
        <w:t>anexará</w:t>
      </w:r>
      <w:r w:rsidRPr="00E74967">
        <w:rPr>
          <w:rFonts w:cs="Calibri"/>
        </w:rPr>
        <w:t xml:space="preserve"> la informació</w:t>
      </w:r>
      <w:r w:rsidRPr="00E74967" w:rsidR="005E231E">
        <w:rPr>
          <w:rFonts w:cs="Calibri"/>
        </w:rPr>
        <w:t>n en las notas de desglose.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Pr="000C3365" w:rsidR="005E231E">
        <w:rPr>
          <w:rFonts w:asciiTheme="minorHAnsi" w:hAnsiTheme="minorHAnsi" w:cstheme="minorHAnsi"/>
          <w:b/>
          <w:color w:val="auto"/>
          <w:sz w:val="22"/>
        </w:rPr>
        <w:t xml:space="preserve"> Calificaciones otorgadas:</w:t>
      </w:r>
      <w:bookmarkEnd w:id="12"/>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de: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5C108B" w:rsidP="005C108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201</w:t>
      </w:r>
      <w:r>
        <w:rPr>
          <w:rFonts w:ascii="Arial" w:hAnsi="Arial" w:cs="Arial"/>
          <w:sz w:val="20"/>
          <w:szCs w:val="20"/>
        </w:rPr>
        <w:t>9</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5C108B" w:rsidRPr="00E74967" w:rsidP="005C108B">
      <w:pPr>
        <w:tabs>
          <w:tab w:val="left" w:leader="underscore" w:pos="9639"/>
        </w:tabs>
        <w:spacing w:after="0" w:line="240" w:lineRule="auto"/>
        <w:jc w:val="both"/>
        <w:rPr>
          <w:rFonts w:cs="Calibri"/>
        </w:rPr>
      </w:pPr>
      <w:r>
        <w:rPr>
          <w:rFonts w:cs="Calibri"/>
        </w:rPr>
        <w:t>Conforme al PBR</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Pr="000C3365" w:rsidR="005E231E">
        <w:rPr>
          <w:rFonts w:asciiTheme="minorHAnsi" w:hAnsiTheme="minorHAnsi" w:cstheme="minorHAnsi"/>
          <w:b/>
          <w:color w:val="auto"/>
          <w:sz w:val="22"/>
        </w:rPr>
        <w:t>4. Información por Segmentos:</w:t>
      </w:r>
      <w:bookmarkEnd w:id="14"/>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Pr="00E74967" w:rsidR="005E231E">
        <w:rPr>
          <w:rFonts w:cs="Calibri"/>
        </w:rPr>
        <w:t>imiento potencial de negocio.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Pr="000C3365" w:rsidR="005E231E">
        <w:rPr>
          <w:rFonts w:asciiTheme="minorHAnsi" w:hAnsiTheme="minorHAnsi" w:cstheme="minorHAnsi"/>
          <w:b/>
          <w:color w:val="auto"/>
          <w:sz w:val="22"/>
        </w:rPr>
        <w:t>ventos Posteriores al Cierre:</w:t>
      </w:r>
      <w:bookmarkEnd w:id="15"/>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Pr="00E74967" w:rsidR="005E231E">
        <w:rPr>
          <w:rFonts w:cs="Calibri"/>
        </w:rPr>
        <w:t>cían a la fecha de cierre.</w:t>
      </w:r>
      <w:r w:rsidRPr="00E74967" w:rsidR="005E231E">
        <w:rPr>
          <w:rFonts w:cs="Calibri"/>
        </w:rPr>
        <w:cr/>
      </w: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5C108B" w:rsidRPr="00BB216F" w:rsidP="005C108B">
      <w:pPr>
        <w:jc w:val="both"/>
        <w:rPr>
          <w:rFonts w:ascii="Arial" w:hAnsi="Arial" w:cs="Arial"/>
          <w:sz w:val="20"/>
          <w:szCs w:val="20"/>
        </w:rPr>
      </w:pPr>
      <w:r w:rsidRPr="00BB216F">
        <w:rPr>
          <w:rFonts w:ascii="Arial" w:hAnsi="Arial" w:cs="Arial"/>
          <w:sz w:val="20"/>
          <w:szCs w:val="20"/>
        </w:rPr>
        <w:t>No existen.</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F46719" w:rsidP="00F46719">
      <w:pPr>
        <w:pStyle w:val="Heading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Pr="00F46719" w:rsidR="001973A2">
        <w:rPr>
          <w:rFonts w:asciiTheme="minorHAnsi" w:hAnsiTheme="minorHAnsi" w:cstheme="minorHAnsi"/>
          <w:b/>
          <w:color w:val="auto"/>
          <w:sz w:val="22"/>
        </w:rPr>
        <w:t>Responsabilidad Sobre la Presentación Razonable de la Información Contable</w:t>
      </w:r>
      <w:r w:rsidRPr="00F46719" w:rsidR="005E231E">
        <w:rPr>
          <w:rFonts w:asciiTheme="minorHAnsi" w:hAnsiTheme="minorHAnsi" w:cstheme="minorHAnsi"/>
          <w:b/>
          <w:color w:val="auto"/>
          <w:sz w:val="22"/>
        </w:rPr>
        <w:t>:</w:t>
      </w:r>
      <w:bookmarkEnd w:id="17"/>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P="00CB41C4">
      <w:pPr>
        <w:pBdr>
          <w:bottom w:val="single" w:sz="12" w:space="1" w:color="auto"/>
        </w:pBdr>
        <w:tabs>
          <w:tab w:val="left" w:leader="underscore" w:pos="9639"/>
        </w:tabs>
        <w:spacing w:after="0" w:line="240" w:lineRule="auto"/>
        <w:jc w:val="both"/>
        <w:rPr>
          <w:rFonts w:cs="Calibri"/>
        </w:rPr>
      </w:pPr>
    </w:p>
    <w:p w:rsidR="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P="00CB41C4">
      <w:pPr>
        <w:pBdr>
          <w:bottom w:val="single" w:sz="12" w:space="1" w:color="auto"/>
        </w:pBdr>
        <w:tabs>
          <w:tab w:val="left" w:leader="underscore" w:pos="9639"/>
        </w:tabs>
        <w:spacing w:after="0" w:line="240" w:lineRule="auto"/>
        <w:jc w:val="both"/>
        <w:rPr>
          <w:rFonts w:cs="Calibri"/>
        </w:rPr>
        <w:sectPr w:rsidSect="0012405A">
          <w:headerReference w:type="default" r:id="rId10"/>
          <w:footerReference w:type="default" r:id="rId11"/>
          <w:pgSz w:w="12240" w:h="15840" w:code="1"/>
          <w:pgMar w:top="1418" w:right="1134" w:bottom="1134" w:left="1418" w:header="709" w:footer="567" w:gutter="0"/>
          <w:cols w:space="708"/>
          <w:docGrid w:linePitch="360"/>
        </w:sectPr>
      </w:pPr>
    </w:p>
    <w:p w:rsidR="00564EB9" w:rsidP="00564EB9">
      <w:pPr>
        <w:spacing w:after="0" w:line="240" w:lineRule="auto"/>
        <w:jc w:val="center"/>
        <w:rPr>
          <w:rFonts w:cs="Calibri"/>
          <w:b/>
          <w:color w:val="2F5496"/>
          <w:sz w:val="28"/>
          <w:szCs w:val="28"/>
          <w:u w:val="single"/>
        </w:rPr>
      </w:pPr>
      <w:r w:rsidRPr="008B3C6A">
        <w:rPr>
          <w:rFonts w:cs="Calibri"/>
          <w:b/>
          <w:color w:val="2F5496"/>
          <w:sz w:val="28"/>
          <w:szCs w:val="28"/>
          <w:u w:val="single"/>
        </w:rPr>
        <w:t>Resultado Evaluación Desempeño</w:t>
      </w:r>
    </w:p>
    <w:p w:rsidR="008B3C6A" w:rsidP="00564EB9">
      <w:pPr>
        <w:spacing w:after="0" w:line="240" w:lineRule="auto"/>
        <w:jc w:val="center"/>
        <w:rPr>
          <w:rFonts w:cs="Calibri"/>
          <w:b/>
          <w:color w:val="2F5496"/>
          <w:sz w:val="28"/>
          <w:szCs w:val="28"/>
          <w:u w:val="single"/>
        </w:rPr>
      </w:pPr>
    </w:p>
    <w:p w:rsidR="008B3C6A" w:rsidRPr="00267338" w:rsidP="00267338">
      <w:pPr>
        <w:spacing w:after="0" w:line="240" w:lineRule="auto"/>
        <w:jc w:val="both"/>
        <w:rPr>
          <w:rFonts w:cs="Calibri"/>
        </w:rPr>
      </w:pPr>
      <w:r w:rsidRPr="00267338">
        <w:rPr>
          <w:rFonts w:cs="Calibri"/>
        </w:rPr>
        <w:t>Deberá incluir los resultados de la evaluación del desempeño de los programas federales, así como los vinculados al ejercicio de los recursos federales que les hayan sido transferidos.</w:t>
      </w:r>
    </w:p>
    <w:p w:rsidR="008B3C6A" w:rsidRPr="00267338" w:rsidP="00267338">
      <w:pPr>
        <w:spacing w:after="0" w:line="240" w:lineRule="auto"/>
        <w:jc w:val="both"/>
        <w:rPr>
          <w:rFonts w:cs="Calibri"/>
        </w:rPr>
      </w:pPr>
    </w:p>
    <w:p w:rsidR="008B3C6A" w:rsidRPr="00267338" w:rsidP="00267338">
      <w:pPr>
        <w:spacing w:after="0" w:line="240" w:lineRule="auto"/>
        <w:jc w:val="both"/>
        <w:rPr>
          <w:rFonts w:cs="Calibri"/>
        </w:rPr>
      </w:pPr>
      <w:r w:rsidRPr="00267338">
        <w:rPr>
          <w:rFonts w:cs="Calibri"/>
        </w:rPr>
        <w:t>Para ello, deberán utilizar indicadores que permitan determinar el cumplimiento de las metas y objetivos de cada uno de los programas, así como vincular los mismos con la planeación del desarrollo.</w:t>
      </w:r>
    </w:p>
    <w:p w:rsidR="008B3C6A" w:rsidRPr="00267338" w:rsidP="008B3C6A">
      <w:pPr>
        <w:spacing w:after="0" w:line="240" w:lineRule="auto"/>
        <w:rPr>
          <w:rFonts w:cs="Calibri"/>
        </w:rPr>
      </w:pPr>
    </w:p>
    <w:p w:rsidR="00564EB9" w:rsidP="00564EB9">
      <w:pPr>
        <w:spacing w:after="0" w:line="240" w:lineRule="auto"/>
        <w:jc w:val="both"/>
        <w:rPr>
          <w:rFonts w:cs="Calibri"/>
          <w:b/>
        </w:rPr>
      </w:pPr>
      <w:r>
        <w:rPr>
          <w:rFonts w:cs="Calibri"/>
          <w:b/>
        </w:rPr>
        <w:t>NO APLICA</w:t>
      </w:r>
    </w:p>
    <w:p w:rsidR="006D57CF" w:rsidRPr="006D57CF" w:rsidP="00564EB9">
      <w:pPr>
        <w:spacing w:after="0" w:line="240" w:lineRule="auto"/>
        <w:jc w:val="both"/>
        <w:rPr>
          <w:rFonts w:cs="Calibri"/>
          <w:b/>
        </w:rPr>
      </w:pPr>
    </w:p>
    <w:p w:rsidR="00564EB9" w:rsidRPr="00267338" w:rsidP="00564EB9">
      <w:pPr>
        <w:spacing w:after="0" w:line="240" w:lineRule="auto"/>
        <w:jc w:val="both"/>
        <w:rPr>
          <w:rFonts w:cs="Calibri"/>
        </w:rPr>
      </w:pPr>
    </w:p>
    <w:p w:rsidR="00564EB9" w:rsidRPr="00267338" w:rsidP="00564EB9">
      <w:pPr>
        <w:spacing w:after="0" w:line="240" w:lineRule="auto"/>
        <w:jc w:val="both"/>
        <w:rPr>
          <w:rFonts w:cs="Calibri"/>
        </w:rPr>
      </w:pPr>
    </w:p>
    <w:p w:rsidR="00445B0C" w:rsidRPr="00267338" w:rsidP="00564EB9">
      <w:pPr>
        <w:sectPr w:rsidSect="00657009">
          <w:pgSz w:w="12240" w:h="15840"/>
          <w:pgMar w:top="1418" w:right="1134" w:bottom="1134" w:left="1418" w:header="709" w:footer="709" w:gutter="0"/>
          <w:cols w:space="708"/>
          <w:docGrid w:linePitch="360"/>
        </w:sectPr>
      </w:pPr>
    </w:p>
    <w:p w:rsidR="00564EB9" w:rsidP="00564EB9">
      <w:pPr>
        <w:spacing w:after="0" w:line="240" w:lineRule="auto"/>
        <w:jc w:val="center"/>
        <w:rPr>
          <w:rFonts w:cs="Calibri"/>
          <w:b/>
          <w:sz w:val="28"/>
          <w:szCs w:val="28"/>
        </w:rPr>
      </w:pPr>
      <w:r w:rsidRPr="0044752F">
        <w:rPr>
          <w:rFonts w:cs="Calibri"/>
          <w:b/>
          <w:color w:val="2F5496"/>
          <w:sz w:val="28"/>
          <w:szCs w:val="28"/>
          <w:u w:val="single"/>
        </w:rPr>
        <w:t>RELACIÓN DE ESQUEMAS BURSÁTILES Y DE COBERTURAS FINANCIERAS</w:t>
      </w:r>
      <w:r w:rsidRPr="009D77DD">
        <w:rPr>
          <w:rFonts w:cs="Calibri"/>
          <w:b/>
          <w:sz w:val="28"/>
          <w:szCs w:val="28"/>
        </w:rPr>
        <w:t xml:space="preserve"> </w:t>
      </w:r>
    </w:p>
    <w:p w:rsidR="00CC7ED0" w:rsidP="00564EB9">
      <w:pPr>
        <w:spacing w:after="0" w:line="240" w:lineRule="auto"/>
        <w:jc w:val="center"/>
        <w:rPr>
          <w:rFonts w:cs="Calibri"/>
          <w:b/>
          <w:sz w:val="28"/>
          <w:szCs w:val="28"/>
        </w:rPr>
      </w:pPr>
    </w:p>
    <w:p w:rsidR="00CC7ED0" w:rsidP="00564EB9">
      <w:pPr>
        <w:spacing w:after="0" w:line="240" w:lineRule="auto"/>
        <w:jc w:val="center"/>
        <w:rPr>
          <w:rFonts w:cs="Calibri"/>
          <w:b/>
          <w:sz w:val="28"/>
          <w:szCs w:val="28"/>
        </w:rPr>
      </w:pPr>
    </w:p>
    <w:p w:rsidR="00CC7ED0" w:rsidP="00564EB9">
      <w:pPr>
        <w:spacing w:after="0" w:line="240" w:lineRule="auto"/>
        <w:jc w:val="center"/>
        <w:rPr>
          <w:rFonts w:cs="Calibri"/>
          <w:b/>
          <w:sz w:val="28"/>
          <w:szCs w:val="28"/>
        </w:rPr>
      </w:pPr>
    </w:p>
    <w:p w:rsidR="00CC7ED0" w:rsidP="00564EB9">
      <w:pPr>
        <w:spacing w:after="0" w:line="240" w:lineRule="auto"/>
        <w:jc w:val="center"/>
        <w:rPr>
          <w:rFonts w:cs="Calibri"/>
          <w:b/>
          <w:sz w:val="28"/>
          <w:szCs w:val="28"/>
        </w:rPr>
      </w:pPr>
    </w:p>
    <w:p w:rsidR="00CC7ED0" w:rsidP="00564EB9">
      <w:pPr>
        <w:spacing w:after="0" w:line="240" w:lineRule="auto"/>
        <w:jc w:val="center"/>
        <w:rPr>
          <w:rFonts w:cs="Calibri"/>
          <w:b/>
          <w:sz w:val="28"/>
          <w:szCs w:val="28"/>
        </w:rPr>
      </w:pPr>
    </w:p>
    <w:p w:rsidR="00CC7ED0" w:rsidP="00564EB9">
      <w:pPr>
        <w:spacing w:after="0" w:line="240" w:lineRule="auto"/>
        <w:jc w:val="center"/>
        <w:rPr>
          <w:rFonts w:cs="Calibri"/>
          <w:b/>
          <w:sz w:val="28"/>
          <w:szCs w:val="28"/>
        </w:rPr>
      </w:pPr>
      <w:r>
        <w:rPr>
          <w:rFonts w:cs="Calibri"/>
          <w:b/>
          <w:sz w:val="28"/>
          <w:szCs w:val="28"/>
        </w:rPr>
        <w:t>NO APLICA</w:t>
      </w:r>
    </w:p>
    <w:p w:rsidR="00CC7ED0" w:rsidRPr="00E74967" w:rsidP="00564EB9">
      <w:pPr>
        <w:spacing w:after="0" w:line="240" w:lineRule="auto"/>
        <w:jc w:val="center"/>
        <w:rPr>
          <w:rFonts w:cs="Calibri"/>
          <w:b/>
          <w:sz w:val="28"/>
          <w:szCs w:val="28"/>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445B0C" w:rsidRPr="00564EB9" w:rsidP="00564EB9"/>
    <w:sectPr w:rsidSect="00657009">
      <w:pgSz w:w="12240" w:h="15840"/>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9E68A5">
        <w:pPr>
          <w:pStyle w:val="Footer"/>
          <w:jc w:val="right"/>
        </w:pPr>
        <w:r>
          <w:fldChar w:fldCharType="begin"/>
        </w:r>
        <w:r>
          <w:instrText>PAGE   \* MERGEFORMAT</w:instrText>
        </w:r>
        <w:r>
          <w:fldChar w:fldCharType="separate"/>
        </w:r>
        <w:r w:rsidRPr="00910642" w:rsidR="00910642">
          <w:rPr>
            <w:noProof/>
            <w:lang w:val="es-ES"/>
          </w:rPr>
          <w:t>10</w:t>
        </w:r>
        <w:r w:rsidRPr="00910642" w:rsidR="00910642">
          <w:rPr>
            <w:noProof/>
            <w:lang w:val="es-ES"/>
          </w:rPr>
          <w:fldChar w:fldCharType="end"/>
        </w:r>
      </w:p>
    </w:sdtContent>
  </w:sdt>
  <w:p w:rsidR="009E68A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8A5" w:rsidP="00A4610E">
    <w:pPr>
      <w:pStyle w:val="Header"/>
      <w:spacing w:after="0" w:line="240" w:lineRule="auto"/>
      <w:jc w:val="center"/>
    </w:pPr>
    <w:r>
      <w:t>INSTITUTO MUNICIPAL DE VIVIENDA DE IRAPUATO, GTO</w:t>
    </w:r>
  </w:p>
  <w:p w:rsidR="009E68A5" w:rsidP="00A4610E">
    <w:pPr>
      <w:pStyle w:val="Header"/>
      <w:spacing w:after="0" w:line="240" w:lineRule="auto"/>
      <w:jc w:val="center"/>
    </w:pPr>
    <w:r w:rsidRPr="00A4610E">
      <w:t>CORRESPONDI</w:t>
    </w:r>
    <w:r w:rsidR="00586FDF">
      <w:t>E</w:t>
    </w:r>
    <w:r w:rsidRPr="00A4610E">
      <w:t xml:space="preserve">NTES AL </w:t>
    </w:r>
    <w:r w:rsidR="00261255">
      <w:t xml:space="preserve">31 DE </w:t>
    </w:r>
    <w:r w:rsidR="00910642">
      <w:t xml:space="preserve">DICIEMBRE </w:t>
    </w:r>
    <w:r>
      <w:t>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characterSpacingControl w:val="doNotCompress"/>
  <w:compat/>
  <w:rsids>
    <w:rsidRoot w:val="007D1E76"/>
    <w:rsid w:val="00013099"/>
    <w:rsid w:val="00040D4F"/>
    <w:rsid w:val="00084EAE"/>
    <w:rsid w:val="00091CE6"/>
    <w:rsid w:val="000B7810"/>
    <w:rsid w:val="000C3365"/>
    <w:rsid w:val="00102FA4"/>
    <w:rsid w:val="0012405A"/>
    <w:rsid w:val="00154BA3"/>
    <w:rsid w:val="00176132"/>
    <w:rsid w:val="001973A2"/>
    <w:rsid w:val="001C75F2"/>
    <w:rsid w:val="001D2063"/>
    <w:rsid w:val="001D43E9"/>
    <w:rsid w:val="002039A5"/>
    <w:rsid w:val="00261255"/>
    <w:rsid w:val="00267338"/>
    <w:rsid w:val="0030071E"/>
    <w:rsid w:val="003453CA"/>
    <w:rsid w:val="003C6494"/>
    <w:rsid w:val="003F112B"/>
    <w:rsid w:val="00424BC1"/>
    <w:rsid w:val="00435A87"/>
    <w:rsid w:val="00437549"/>
    <w:rsid w:val="00445B0C"/>
    <w:rsid w:val="0044752F"/>
    <w:rsid w:val="00483FE0"/>
    <w:rsid w:val="004A58C8"/>
    <w:rsid w:val="004F234D"/>
    <w:rsid w:val="00511B6A"/>
    <w:rsid w:val="0054701E"/>
    <w:rsid w:val="00564EB9"/>
    <w:rsid w:val="00565D52"/>
    <w:rsid w:val="00586FDF"/>
    <w:rsid w:val="005B5531"/>
    <w:rsid w:val="005C108B"/>
    <w:rsid w:val="005C44C5"/>
    <w:rsid w:val="005D3E43"/>
    <w:rsid w:val="005D4A9B"/>
    <w:rsid w:val="005E231E"/>
    <w:rsid w:val="00657009"/>
    <w:rsid w:val="00681C79"/>
    <w:rsid w:val="006D57CF"/>
    <w:rsid w:val="00750D75"/>
    <w:rsid w:val="007610BC"/>
    <w:rsid w:val="007714AB"/>
    <w:rsid w:val="007D1E76"/>
    <w:rsid w:val="007D3CA4"/>
    <w:rsid w:val="007D4484"/>
    <w:rsid w:val="008352D2"/>
    <w:rsid w:val="00852172"/>
    <w:rsid w:val="0086459F"/>
    <w:rsid w:val="008A757D"/>
    <w:rsid w:val="008B0861"/>
    <w:rsid w:val="008B3C6A"/>
    <w:rsid w:val="008C3BB8"/>
    <w:rsid w:val="008E076C"/>
    <w:rsid w:val="008E295C"/>
    <w:rsid w:val="00910642"/>
    <w:rsid w:val="00916D12"/>
    <w:rsid w:val="0091710D"/>
    <w:rsid w:val="0092765C"/>
    <w:rsid w:val="009C3977"/>
    <w:rsid w:val="009D77DD"/>
    <w:rsid w:val="009E68A5"/>
    <w:rsid w:val="00A06487"/>
    <w:rsid w:val="00A223BD"/>
    <w:rsid w:val="00A4610E"/>
    <w:rsid w:val="00A62E6E"/>
    <w:rsid w:val="00A668D5"/>
    <w:rsid w:val="00A714A2"/>
    <w:rsid w:val="00A730E0"/>
    <w:rsid w:val="00AA41E5"/>
    <w:rsid w:val="00AB722B"/>
    <w:rsid w:val="00AC302E"/>
    <w:rsid w:val="00AE0822"/>
    <w:rsid w:val="00AE1F6A"/>
    <w:rsid w:val="00B236D8"/>
    <w:rsid w:val="00B27857"/>
    <w:rsid w:val="00B43CA3"/>
    <w:rsid w:val="00BA09E7"/>
    <w:rsid w:val="00BA1EC7"/>
    <w:rsid w:val="00BB216F"/>
    <w:rsid w:val="00BC0C3F"/>
    <w:rsid w:val="00BD18C7"/>
    <w:rsid w:val="00BE7A7E"/>
    <w:rsid w:val="00C669D1"/>
    <w:rsid w:val="00C97E1E"/>
    <w:rsid w:val="00CB41C4"/>
    <w:rsid w:val="00CC7ED0"/>
    <w:rsid w:val="00CF1316"/>
    <w:rsid w:val="00D13C44"/>
    <w:rsid w:val="00D64622"/>
    <w:rsid w:val="00D975B1"/>
    <w:rsid w:val="00DE0E9E"/>
    <w:rsid w:val="00E00323"/>
    <w:rsid w:val="00E74967"/>
    <w:rsid w:val="00E7559F"/>
    <w:rsid w:val="00EA37F5"/>
    <w:rsid w:val="00EA7915"/>
    <w:rsid w:val="00F46719"/>
    <w:rsid w:val="00F54F6F"/>
    <w:rsid w:val="00F65A92"/>
    <w:rsid w:val="00F76A2A"/>
    <w:rsid w:val="00F94B4F"/>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Heading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E76"/>
    <w:pPr>
      <w:ind w:left="720"/>
      <w:contextualSpacing/>
    </w:pPr>
  </w:style>
  <w:style w:type="character" w:styleId="Hyperlink">
    <w:name w:val="Hyperlink"/>
    <w:uiPriority w:val="99"/>
    <w:unhideWhenUsed/>
    <w:rsid w:val="007D1E76"/>
    <w:rPr>
      <w:color w:val="0000FF"/>
      <w:u w:val="single"/>
    </w:rPr>
  </w:style>
  <w:style w:type="paragraph" w:styleId="Header">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Header"/>
    <w:uiPriority w:val="99"/>
    <w:rsid w:val="00E00323"/>
    <w:rPr>
      <w:sz w:val="22"/>
      <w:szCs w:val="22"/>
      <w:lang w:eastAsia="en-US"/>
    </w:rPr>
  </w:style>
  <w:style w:type="paragraph" w:styleId="Footer">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Footer"/>
    <w:uiPriority w:val="99"/>
    <w:rsid w:val="00E00323"/>
    <w:rPr>
      <w:sz w:val="22"/>
      <w:szCs w:val="22"/>
      <w:lang w:eastAsia="en-US"/>
    </w:rPr>
  </w:style>
  <w:style w:type="paragraph" w:styleId="BalloonText">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BalloonText"/>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itle">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DefaultParagraphFont"/>
    <w:link w:val="Title"/>
    <w:uiPriority w:val="10"/>
    <w:rsid w:val="00AA41E5"/>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DefaultParagraphFont"/>
    <w:link w:val="Heading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DefaultParagraphFont"/>
    <w:link w:val="Heading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F46719"/>
    <w:pPr>
      <w:spacing w:line="259" w:lineRule="auto"/>
      <w:outlineLvl w:val="9"/>
    </w:pPr>
    <w:rPr>
      <w:lang w:eastAsia="es-MX"/>
    </w:rPr>
  </w:style>
  <w:style w:type="paragraph" w:styleId="TOC2">
    <w:name w:val="toc 2"/>
    <w:basedOn w:val="Normal"/>
    <w:next w:val="Normal"/>
    <w:autoRedefine/>
    <w:uiPriority w:val="39"/>
    <w:unhideWhenUsed/>
    <w:rsid w:val="00F46719"/>
    <w:pPr>
      <w:spacing w:after="100"/>
      <w:ind w:left="220"/>
    </w:pPr>
  </w:style>
  <w:style w:type="paragraph" w:styleId="BodyText2">
    <w:name w:val="Body Text 2"/>
    <w:basedOn w:val="Normal"/>
    <w:link w:val="Textoindependiente2Car"/>
    <w:rsid w:val="007D3CA4"/>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DefaultParagraphFont"/>
    <w:link w:val="BodyText2"/>
    <w:rsid w:val="007D3CA4"/>
    <w:rPr>
      <w:rFonts w:ascii="Futura Lt BT" w:eastAsia="Times New Roman" w:hAnsi="Futura Lt BT"/>
      <w:lang w:val="es-ES" w:eastAsia="es-ES"/>
    </w:rPr>
  </w:style>
  <w:style w:type="character" w:styleId="SubtleEmphasis">
    <w:name w:val="Subtle Emphasis"/>
    <w:basedOn w:val="DefaultParagraphFont"/>
    <w:uiPriority w:val="19"/>
    <w:qFormat/>
    <w:rsid w:val="00B43CA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acorona/lquiroz/AppData/Local/Microsoft/Windows/Temporary%20Internet%20Files/Content.Outlook/HBGSO9P3/MODELO%20CTA%202013.pptx" TargetMode="External" /><Relationship Id="rId9"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2D09388-1454-4AC7-AE28-6125E75E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10</Pages>
  <Words>3468</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cp:lastModifiedBy>
  <cp:revision>31</cp:revision>
  <cp:lastPrinted>2020-01-09T16:20:00Z</cp:lastPrinted>
  <dcterms:created xsi:type="dcterms:W3CDTF">2017-01-12T05:27:00Z</dcterms:created>
  <dcterms:modified xsi:type="dcterms:W3CDTF">2020-01-09T16:20:00Z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