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233235"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A lo largo de estos años, se ha gestionado y obtenido recurso del Gobierno Federal para la implementación del Programa “Tu Casa” durante los años 2004, 2007 y 2008 beneficiando a 1342 familias irapuatenses; en el año 2014 se adquirió Reserva Territorial apta para vivienda con una superficie de 33,660.48  M2, misma que está en proceso de desarrollo; y por último se trabaja estrechamente con la COMURE, con la Secretaría del H. Ayuntamiento y con la Dirección General de Ordenamiento Territorial del Municipio para la regularización de Asentamiento Humanos en nuestro Municipio.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172F97" w:rsidRPr="00BB216F" w:rsidRDefault="00172F97" w:rsidP="00172F97">
      <w:pPr>
        <w:spacing w:after="0" w:line="240" w:lineRule="auto"/>
        <w:jc w:val="both"/>
        <w:rPr>
          <w:rFonts w:ascii="Arial" w:hAnsi="Arial" w:cs="Arial"/>
          <w:sz w:val="20"/>
          <w:szCs w:val="20"/>
          <w:lang w:val="es-ES"/>
        </w:rPr>
      </w:pPr>
      <w:r w:rsidRPr="00BB216F">
        <w:rPr>
          <w:rFonts w:ascii="Arial" w:hAnsi="Arial" w:cs="Arial"/>
          <w:sz w:val="20"/>
          <w:szCs w:val="20"/>
        </w:rPr>
        <w:t>El IMUVII desde su creación, no recibe subsidio alguno por parte del Gobierno Municipal para cubrir su gasto corriente u operativo; éste es cubierto con la recuperación de</w:t>
      </w:r>
      <w:r w:rsidRPr="00BB216F">
        <w:rPr>
          <w:rFonts w:ascii="Arial" w:hAnsi="Arial" w:cs="Arial"/>
          <w:sz w:val="20"/>
          <w:szCs w:val="20"/>
          <w:lang w:val="es-ES"/>
        </w:rPr>
        <w:t xml:space="preserve"> los créditos otorgados para vivienda, y que son las mencionadas líneas arriba.</w:t>
      </w:r>
    </w:p>
    <w:p w:rsidR="00172F97" w:rsidRPr="00BB216F" w:rsidRDefault="00172F97" w:rsidP="00172F97">
      <w:pPr>
        <w:spacing w:after="0" w:line="240" w:lineRule="auto"/>
        <w:jc w:val="both"/>
        <w:rPr>
          <w:rFonts w:ascii="Arial" w:hAnsi="Arial" w:cs="Arial"/>
          <w:sz w:val="20"/>
          <w:szCs w:val="20"/>
          <w:lang w:val="es-ES"/>
        </w:rPr>
      </w:pPr>
      <w:r w:rsidRPr="00BB216F">
        <w:rPr>
          <w:rFonts w:ascii="Arial" w:hAnsi="Arial" w:cs="Arial"/>
          <w:sz w:val="20"/>
          <w:szCs w:val="20"/>
          <w:lang w:val="es-ES"/>
        </w:rPr>
        <w:t>A finales del año 2009 y al no contar con reserva territorial para seguir atendiendo la demanda de vivienda en el Municipio, se realiza la compra a plazos de 40 hectáreas de terreno (enero 2010 a junio 2013). Esta situación ha originado que de la totalidad de los ingresos que recibe el IMUVII, se destine la mayor parte de ellos al pago de esta reserva, quedando muy poco recurso para invertirlo en su desarrollo.</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 xml:space="preserve">No se ha recibido apoyo económico proveniente del Ramo 33 para gasto de inversión, por lo  mismo ha sido insuficiente para poder atender la demanda de vivienda que existe en el Municipio, actualmente IMUVII tiene </w:t>
      </w:r>
      <w:r w:rsidRPr="00BB216F">
        <w:rPr>
          <w:rFonts w:ascii="Arial" w:hAnsi="Arial" w:cs="Arial"/>
          <w:sz w:val="20"/>
          <w:szCs w:val="20"/>
        </w:rPr>
        <w:lastRenderedPageBreak/>
        <w:t>más de 4,000 expedientes de solicitantes de una vivienda (pie de casa), sin contar en este momento con las condiciones para dar atención a tal demanda es decir, reserva territorial habilitada para vivienda.</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172F97" w:rsidRPr="00BB216F" w:rsidRDefault="00172F97" w:rsidP="00172F97">
      <w:pPr>
        <w:spacing w:after="0" w:line="240" w:lineRule="auto"/>
        <w:jc w:val="both"/>
        <w:rPr>
          <w:rFonts w:ascii="Arial" w:hAnsi="Arial" w:cs="Arial"/>
          <w:b/>
        </w:rPr>
      </w:pPr>
      <w:r w:rsidRPr="00BB216F">
        <w:rPr>
          <w:rFonts w:ascii="Arial" w:hAnsi="Arial" w:cs="Arial"/>
          <w:b/>
        </w:rPr>
        <w:t>3. Autorización e Historia: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informará sobre: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Fecha de creación del ente.</w:t>
      </w:r>
    </w:p>
    <w:p w:rsidR="00172F97" w:rsidRPr="00BB216F" w:rsidRDefault="00172F97" w:rsidP="00172F97">
      <w:pPr>
        <w:spacing w:after="0" w:line="240" w:lineRule="auto"/>
        <w:jc w:val="both"/>
        <w:rPr>
          <w:rFonts w:ascii="Arial" w:hAnsi="Arial" w:cs="Arial"/>
        </w:rPr>
      </w:pPr>
    </w:p>
    <w:p w:rsidR="00172F97" w:rsidRPr="00BB216F" w:rsidRDefault="00172F97" w:rsidP="00172F97">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172F97" w:rsidRPr="00BB216F" w:rsidRDefault="00172F97" w:rsidP="00172F97">
      <w:pPr>
        <w:spacing w:after="0" w:line="240" w:lineRule="auto"/>
        <w:jc w:val="both"/>
        <w:rPr>
          <w:rFonts w:ascii="Arial" w:hAnsi="Arial" w:cs="Arial"/>
          <w:lang w:val="es-ES"/>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Principales cambios en su estructura (interna históricamente).</w:t>
      </w:r>
    </w:p>
    <w:p w:rsidR="00172F97" w:rsidRPr="00BB216F" w:rsidRDefault="00172F97" w:rsidP="00172F97">
      <w:pPr>
        <w:spacing w:after="0" w:line="240" w:lineRule="auto"/>
        <w:jc w:val="both"/>
        <w:rPr>
          <w:rFonts w:ascii="Arial" w:hAnsi="Arial" w:cs="Arial"/>
        </w:rPr>
      </w:pPr>
    </w:p>
    <w:p w:rsidR="00172F97" w:rsidRPr="00BB216F" w:rsidRDefault="00172F97" w:rsidP="00172F97">
      <w:pPr>
        <w:pStyle w:val="Encabezado"/>
        <w:tabs>
          <w:tab w:val="clear" w:pos="4419"/>
          <w:tab w:val="clear" w:pos="8838"/>
        </w:tabs>
        <w:rPr>
          <w:rFonts w:ascii="Arial" w:hAnsi="Arial" w:cs="Arial"/>
          <w:bCs/>
          <w:sz w:val="20"/>
          <w:szCs w:val="20"/>
        </w:rPr>
      </w:pPr>
      <w:r w:rsidRPr="00BB216F">
        <w:rPr>
          <w:rFonts w:ascii="Arial" w:hAnsi="Arial" w:cs="Arial"/>
          <w:bCs/>
          <w:sz w:val="20"/>
          <w:szCs w:val="20"/>
        </w:rPr>
        <w:t>En Reunión Ordinaria Núm. 32/09 de fecha 25 de agosto del 2009, el Consejo Directivo aprobó la modificación al Reglamento Interno del IMUVII,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 sin que a la fecha se haya obtenido respuesta de su parte.</w:t>
      </w:r>
    </w:p>
    <w:p w:rsidR="00172F97" w:rsidRPr="00BB216F" w:rsidRDefault="00172F97" w:rsidP="00172F97">
      <w:pPr>
        <w:pStyle w:val="Encabezado"/>
        <w:tabs>
          <w:tab w:val="clear" w:pos="4419"/>
          <w:tab w:val="clear" w:pos="8838"/>
        </w:tabs>
        <w:rPr>
          <w:rFonts w:ascii="Arial" w:hAnsi="Arial" w:cs="Arial"/>
          <w:bCs/>
          <w:sz w:val="20"/>
          <w:szCs w:val="20"/>
        </w:rPr>
      </w:pPr>
      <w:r w:rsidRPr="00BB216F">
        <w:rPr>
          <w:rFonts w:ascii="Arial" w:hAnsi="Arial" w:cs="Arial"/>
          <w:bCs/>
          <w:sz w:val="20"/>
          <w:szCs w:val="20"/>
        </w:rPr>
        <w:t>Asimismo y con la entrada en vigor a partir del 2013 del Código Territorial para el Estado y sus Municipios, la modificación realizada quedará obsoleta, por lo que se está trabajando en una nueva modificación que contemple lo establecido en el citado Código.</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4. Organización y Objeto Social:</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informará sobre: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Objeto social.</w:t>
      </w:r>
    </w:p>
    <w:p w:rsidR="00172F97" w:rsidRPr="00BB216F" w:rsidRDefault="00172F97" w:rsidP="00172F97">
      <w:pPr>
        <w:spacing w:after="0" w:line="240" w:lineRule="auto"/>
        <w:jc w:val="both"/>
        <w:rPr>
          <w:rFonts w:ascii="Arial" w:hAnsi="Arial" w:cs="Arial"/>
        </w:rPr>
      </w:pP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lastRenderedPageBreak/>
        <w:t>VII. Adquirir los inmuebles indispensables para los programas habitacionales que desarrolle y gestionar ante los Gobiernos Federal, Estatal o Municipal e Instituciones Privadas, las aportaciones necesarias para el mismo fin;</w:t>
      </w:r>
    </w:p>
    <w:p w:rsidR="00172F97" w:rsidRPr="00BB216F" w:rsidRDefault="00172F97" w:rsidP="00172F97">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Principal actividad.</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172F97" w:rsidRPr="00BB216F" w:rsidRDefault="00172F97" w:rsidP="00172F97">
      <w:pPr>
        <w:spacing w:after="0" w:line="240" w:lineRule="auto"/>
        <w:jc w:val="both"/>
        <w:rPr>
          <w:rFonts w:ascii="Arial" w:hAnsi="Arial" w:cs="Arial"/>
        </w:rPr>
      </w:pPr>
      <w:r w:rsidRPr="00BB216F">
        <w:rPr>
          <w:rFonts w:ascii="Arial" w:hAnsi="Arial" w:cs="Arial"/>
          <w:sz w:val="20"/>
          <w:szCs w:val="20"/>
        </w:rPr>
        <w:t>II. Operación del programa de regularización de asentamientos humanos en el Municipio</w:t>
      </w:r>
      <w:r w:rsidRPr="00BB216F">
        <w:rPr>
          <w:rFonts w:ascii="Arial" w:hAnsi="Arial" w:cs="Arial"/>
        </w:rPr>
        <w:t>_</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Ejercicio fiscal (mencionar por ejemplo: enero a diciembre de 2016).</w:t>
      </w:r>
    </w:p>
    <w:p w:rsidR="00172F97" w:rsidRPr="00BB216F" w:rsidRDefault="00172F97" w:rsidP="00172F97">
      <w:pPr>
        <w:jc w:val="both"/>
        <w:rPr>
          <w:rFonts w:ascii="Arial" w:hAnsi="Arial" w:cs="Arial"/>
          <w:sz w:val="20"/>
          <w:szCs w:val="20"/>
        </w:rPr>
      </w:pPr>
      <w:r w:rsidRPr="00BB216F">
        <w:rPr>
          <w:rFonts w:ascii="Arial" w:hAnsi="Arial" w:cs="Arial"/>
          <w:sz w:val="20"/>
          <w:szCs w:val="20"/>
        </w:rPr>
        <w:t>Enero a Diciembre de 2016.</w:t>
      </w:r>
    </w:p>
    <w:p w:rsidR="00172F97" w:rsidRPr="00BB216F" w:rsidRDefault="00172F97" w:rsidP="00172F97">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Régimen jurídico (Forma como está dada de alta la entidad ante la S.H.C.P., ejemplos: S.C., S.A., Personas morales sin fines de lucro, etc.).</w:t>
      </w:r>
    </w:p>
    <w:p w:rsidR="00172F97" w:rsidRPr="00BB216F" w:rsidRDefault="00172F97" w:rsidP="00172F97">
      <w:pPr>
        <w:jc w:val="both"/>
        <w:rPr>
          <w:rFonts w:ascii="Arial" w:hAnsi="Arial" w:cs="Arial"/>
          <w:sz w:val="20"/>
          <w:szCs w:val="20"/>
        </w:rPr>
      </w:pPr>
      <w:r w:rsidRPr="00BB216F">
        <w:rPr>
          <w:rFonts w:ascii="Arial" w:hAnsi="Arial" w:cs="Arial"/>
          <w:sz w:val="20"/>
          <w:szCs w:val="20"/>
        </w:rPr>
        <w:t>Personas Morales con Fines No Lucrativos.</w:t>
      </w:r>
    </w:p>
    <w:p w:rsidR="00172F97" w:rsidRPr="00BB216F" w:rsidRDefault="00172F97" w:rsidP="00172F97">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Consideraciones fiscales del ente: Revelar el tipo de contribuciones que esté obligado a pagar o retener.</w:t>
      </w:r>
    </w:p>
    <w:p w:rsidR="00172F97" w:rsidRPr="00BB216F" w:rsidRDefault="00172F97" w:rsidP="00172F97">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172F97" w:rsidRPr="00BB216F" w:rsidRDefault="00172F97" w:rsidP="00172F97">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anual Informativa de Impuesto Sobre la Renta (ISR), sobre los pagos y retenciones de servicios profesionales. (personas morales).</w:t>
      </w:r>
    </w:p>
    <w:p w:rsidR="00172F97" w:rsidRPr="00BB216F" w:rsidRDefault="00172F97" w:rsidP="00172F97">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III. Presentar la declaración anual Informativa donde obre las retenciones de los trabajadores que recibieron sueldos y salarios y trabajadores asimilados a salarios.</w:t>
      </w:r>
    </w:p>
    <w:p w:rsidR="00172F97" w:rsidRPr="00BB216F" w:rsidRDefault="00172F97" w:rsidP="00172F97">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IV. Presentar la declaración y pago provisional mensual de Impuesto Sobre la Renta (ISR) por las retenciones realizadas por servicios profesionales.</w:t>
      </w:r>
    </w:p>
    <w:p w:rsidR="00172F97" w:rsidRPr="00BB216F" w:rsidRDefault="00172F97" w:rsidP="00172F97">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f)</w:t>
      </w:r>
      <w:r w:rsidRPr="00BB216F">
        <w:rPr>
          <w:rFonts w:ascii="Arial" w:hAnsi="Arial" w:cs="Arial"/>
        </w:rPr>
        <w:t xml:space="preserve"> Estructura organizacional básica.</w:t>
      </w:r>
    </w:p>
    <w:p w:rsidR="00172F97" w:rsidRPr="00BB216F" w:rsidRDefault="00172F97" w:rsidP="00172F97">
      <w:pPr>
        <w:spacing w:after="0" w:line="240" w:lineRule="auto"/>
        <w:jc w:val="both"/>
        <w:rPr>
          <w:rFonts w:ascii="Arial" w:hAnsi="Arial" w:cs="Arial"/>
        </w:rPr>
      </w:pPr>
      <w:r w:rsidRPr="00BB216F">
        <w:rPr>
          <w:rFonts w:ascii="Arial" w:hAnsi="Arial" w:cs="Arial"/>
          <w:noProof/>
          <w:lang w:eastAsia="es-MX"/>
        </w:rPr>
        <w:lastRenderedPageBreak/>
        <w:drawing>
          <wp:inline distT="0" distB="0" distL="0" distR="0">
            <wp:extent cx="5801305" cy="3935151"/>
            <wp:effectExtent l="19050" t="0" r="89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856" t="16625" r="30459" b="10076"/>
                    <a:stretch>
                      <a:fillRect/>
                    </a:stretch>
                  </pic:blipFill>
                  <pic:spPr bwMode="auto">
                    <a:xfrm>
                      <a:off x="0" y="0"/>
                      <a:ext cx="5808690" cy="3940161"/>
                    </a:xfrm>
                    <a:prstGeom prst="rect">
                      <a:avLst/>
                    </a:prstGeom>
                    <a:noFill/>
                    <a:ln w="9525">
                      <a:noFill/>
                      <a:miter lim="800000"/>
                      <a:headEnd/>
                      <a:tailEnd/>
                    </a:ln>
                  </pic:spPr>
                </pic:pic>
              </a:graphicData>
            </a:graphic>
          </wp:inline>
        </w:drawing>
      </w:r>
    </w:p>
    <w:p w:rsidR="00172F97" w:rsidRPr="00BB216F" w:rsidRDefault="00172F97" w:rsidP="00172F97">
      <w:pPr>
        <w:spacing w:after="0" w:line="240" w:lineRule="auto"/>
        <w:jc w:val="both"/>
        <w:rPr>
          <w:rFonts w:ascii="Arial" w:hAnsi="Arial" w:cs="Arial"/>
        </w:rPr>
      </w:pPr>
      <w:r w:rsidRPr="00BB216F">
        <w:rPr>
          <w:rFonts w:ascii="Arial" w:hAnsi="Arial" w:cs="Arial"/>
          <w:b/>
        </w:rPr>
        <w:t>g)</w:t>
      </w:r>
      <w:r w:rsidRPr="00BB216F">
        <w:rPr>
          <w:rFonts w:ascii="Arial" w:hAnsi="Arial" w:cs="Arial"/>
        </w:rPr>
        <w:t xml:space="preserve"> Fideicomisos, mandatos y análogos de los cuales es fideicomitente o fideicomisario.</w:t>
      </w:r>
    </w:p>
    <w:p w:rsidR="00172F97" w:rsidRPr="00BB216F" w:rsidRDefault="00172F97" w:rsidP="00172F97">
      <w:pPr>
        <w:spacing w:after="0" w:line="240" w:lineRule="auto"/>
        <w:jc w:val="both"/>
        <w:rPr>
          <w:rFonts w:ascii="Arial" w:hAnsi="Arial" w:cs="Arial"/>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5. Bases de Preparación de los Estados Financieros:</w:t>
      </w:r>
    </w:p>
    <w:p w:rsidR="00172F97" w:rsidRPr="00BB216F" w:rsidRDefault="00172F97" w:rsidP="00172F97">
      <w:pPr>
        <w:spacing w:after="0" w:line="240" w:lineRule="auto"/>
        <w:jc w:val="both"/>
        <w:rPr>
          <w:rFonts w:ascii="Arial" w:hAnsi="Arial" w:cs="Arial"/>
        </w:rPr>
      </w:pPr>
      <w:r w:rsidRPr="00BB216F">
        <w:rPr>
          <w:rFonts w:ascii="Arial" w:hAnsi="Arial" w:cs="Arial"/>
        </w:rPr>
        <w:t>Se informará sobre: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Si se ha observado la normatividad emitida por el CONAC y las disposiciones legales aplicables.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2F97" w:rsidRPr="00BB216F" w:rsidRDefault="00172F97" w:rsidP="00172F97">
      <w:pPr>
        <w:spacing w:after="0" w:line="240" w:lineRule="auto"/>
        <w:jc w:val="both"/>
        <w:rPr>
          <w:rFonts w:ascii="Arial" w:hAnsi="Arial" w:cs="Arial"/>
        </w:rPr>
      </w:pPr>
    </w:p>
    <w:p w:rsidR="00172F97" w:rsidRPr="00BB216F" w:rsidRDefault="00172F97" w:rsidP="00172F97">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172F97" w:rsidRPr="00BB216F" w:rsidRDefault="00172F97" w:rsidP="00172F97">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Postulados básicos.</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172F97" w:rsidRPr="00BB216F" w:rsidRDefault="00172F97" w:rsidP="00172F97">
      <w:pPr>
        <w:spacing w:after="0" w:line="240" w:lineRule="auto"/>
        <w:jc w:val="both"/>
        <w:rPr>
          <w:rFonts w:ascii="Arial" w:hAnsi="Arial" w:cs="Arial"/>
          <w:sz w:val="20"/>
          <w:szCs w:val="20"/>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lastRenderedPageBreak/>
        <w:t>d)</w:t>
      </w:r>
      <w:r w:rsidRPr="00BB216F">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72F97" w:rsidRPr="00BB216F" w:rsidRDefault="00172F97" w:rsidP="00172F97">
      <w:pPr>
        <w:spacing w:after="0" w:line="240" w:lineRule="auto"/>
        <w:jc w:val="both"/>
        <w:rPr>
          <w:rFonts w:ascii="Arial" w:hAnsi="Arial" w:cs="Arial"/>
          <w:b/>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Para las entidades que por primera vez estén implementando la base devengado de acuerdo a la Ley de Contabilidad, deberán:</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*Revelar las nuevas políticas de reconocimiento:</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*Plan de implementación:</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*Revelar los cambios en las políticas, la clasificación y medición de las mismas, así como su impacto en la información financiera:</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6. Políticas de Contabilidad Significativas: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informará sobre: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Informar sobre la realización de operaciones en el extranjero y de sus efectos en la información financiera gubernamental:</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Método de valuación de la inversión en acciones de Compañías subsidiarias no consolidadas y asociadas: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Sistema y método de valuación de inventarios y costo de lo vendido:</w:t>
      </w:r>
    </w:p>
    <w:p w:rsidR="00172F97" w:rsidRPr="00BB216F" w:rsidRDefault="00172F97" w:rsidP="00172F97">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f)</w:t>
      </w:r>
      <w:r w:rsidRPr="00BB216F">
        <w:rPr>
          <w:rFonts w:ascii="Arial" w:hAnsi="Arial" w:cs="Arial"/>
        </w:rPr>
        <w:t xml:space="preserve"> Provisiones: objetivo de su creación, monto y plazo:</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g)</w:t>
      </w:r>
      <w:r w:rsidRPr="00BB216F">
        <w:rPr>
          <w:rFonts w:ascii="Arial" w:hAnsi="Arial" w:cs="Arial"/>
        </w:rPr>
        <w:t xml:space="preserve"> Reservas: objetivo de su creación, monto y plazo:</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h)</w:t>
      </w:r>
      <w:r w:rsidRPr="00BB216F">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172F97" w:rsidRPr="00BB216F" w:rsidRDefault="00172F97" w:rsidP="00172F97">
      <w:pPr>
        <w:jc w:val="both"/>
        <w:rPr>
          <w:rFonts w:ascii="Arial" w:hAnsi="Arial" w:cs="Arial"/>
          <w:sz w:val="20"/>
          <w:szCs w:val="20"/>
        </w:rPr>
      </w:pPr>
      <w:r>
        <w:rPr>
          <w:rFonts w:ascii="Arial" w:hAnsi="Arial" w:cs="Arial"/>
          <w:sz w:val="20"/>
          <w:szCs w:val="20"/>
        </w:rPr>
        <w:t xml:space="preserve">En el ejercicio 2016 se realizo la aplicación conforme a ley del reconocimiento de ingresos presupuestales-contables, por lo cual se vio afectado el patrimonio y resultados de ejercicios anteriores. </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i)</w:t>
      </w:r>
      <w:r w:rsidRPr="00BB216F">
        <w:rPr>
          <w:rFonts w:ascii="Arial" w:hAnsi="Arial" w:cs="Arial"/>
        </w:rPr>
        <w:t xml:space="preserve"> Reclasificaciones: Se deben revelar todos aquellos movimientos entre cuentas por efectos de cambios en los tipos de operaciones: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j)</w:t>
      </w:r>
      <w:r w:rsidRPr="00BB216F">
        <w:rPr>
          <w:rFonts w:ascii="Arial" w:hAnsi="Arial" w:cs="Arial"/>
        </w:rPr>
        <w:t xml:space="preserve"> Depuración y cancelación de saldos: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7. Posición en Moneda Extranjera y Protección por Riesgo Cambiario:</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informará sobre: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Activos en moneda extranjera: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Pasivos en moneda extranjera: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 xml:space="preserve">c) </w:t>
      </w:r>
      <w:r w:rsidRPr="00BB216F">
        <w:rPr>
          <w:rFonts w:ascii="Arial" w:hAnsi="Arial" w:cs="Arial"/>
        </w:rPr>
        <w:t>Posición en moneda extranjera: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Tipo de cambio:</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 xml:space="preserve">e) </w:t>
      </w:r>
      <w:r w:rsidRPr="00BB216F">
        <w:rPr>
          <w:rFonts w:ascii="Arial" w:hAnsi="Arial" w:cs="Arial"/>
        </w:rPr>
        <w:t>Equivalente en moneda nacional:</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Lo anterior por cada tipo de moneda extranjera que se encuentre en los rubros de activo y pasivo.</w:t>
      </w:r>
    </w:p>
    <w:p w:rsidR="00172F97" w:rsidRPr="00BB216F" w:rsidRDefault="00172F97" w:rsidP="00172F97">
      <w:pPr>
        <w:spacing w:after="0" w:line="240" w:lineRule="auto"/>
        <w:jc w:val="both"/>
        <w:rPr>
          <w:rFonts w:ascii="Arial" w:hAnsi="Arial" w:cs="Arial"/>
        </w:rPr>
      </w:pPr>
      <w:r w:rsidRPr="00BB216F">
        <w:rPr>
          <w:rFonts w:ascii="Arial" w:hAnsi="Arial" w:cs="Arial"/>
        </w:rPr>
        <w:t>Adicionalmente se informará sobre los métodos de protección de riesgo por variaciones en el tipo de cambio.</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8. Reporte Analítico del Activo:</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Debe mostrar la siguiente información:</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Vida útil o porcentajes de depreciación, deterioro o amortización utilizados en los diferentes tipos de activos:</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172F97" w:rsidRPr="00BB216F" w:rsidRDefault="00172F97" w:rsidP="00172F97">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Cambios en el porcentaje de depreciación o valor residual de los activos: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c)</w:t>
      </w:r>
      <w:r w:rsidRPr="00BB216F">
        <w:rPr>
          <w:rFonts w:ascii="Arial" w:hAnsi="Arial" w:cs="Arial"/>
        </w:rPr>
        <w:t xml:space="preserve"> Importe de los gastos capitalizados en el ejercicio, tanto financieros como de investigación y desarrollo:</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Riesgos por tipo de cambio o tipo de interés de las inversiones financieras: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 xml:space="preserve">e) </w:t>
      </w:r>
      <w:r w:rsidRPr="00BB216F">
        <w:rPr>
          <w:rFonts w:ascii="Arial" w:hAnsi="Arial" w:cs="Arial"/>
        </w:rPr>
        <w:t>Valor activado en el ejercicio de los bienes construidos por la entidad:</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b/>
        </w:rPr>
      </w:pPr>
    </w:p>
    <w:p w:rsidR="00172F97" w:rsidRPr="00BB216F" w:rsidRDefault="00172F97" w:rsidP="00172F97">
      <w:pPr>
        <w:spacing w:after="0" w:line="240" w:lineRule="auto"/>
        <w:jc w:val="both"/>
        <w:rPr>
          <w:rFonts w:ascii="Arial" w:hAnsi="Arial" w:cs="Arial"/>
        </w:rPr>
      </w:pPr>
      <w:r w:rsidRPr="00BB216F">
        <w:rPr>
          <w:rFonts w:ascii="Arial" w:hAnsi="Arial" w:cs="Arial"/>
          <w:b/>
        </w:rPr>
        <w:t>f)</w:t>
      </w:r>
      <w:r w:rsidRPr="00BB216F">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g)</w:t>
      </w:r>
      <w:r w:rsidRPr="00BB216F">
        <w:rPr>
          <w:rFonts w:ascii="Arial" w:hAnsi="Arial" w:cs="Arial"/>
        </w:rPr>
        <w:t xml:space="preserve"> Desmantelamiento de Activos, procedimientos, implicaciones, efectos contables: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h)</w:t>
      </w:r>
      <w:r w:rsidRPr="00BB216F">
        <w:rPr>
          <w:rFonts w:ascii="Arial" w:hAnsi="Arial" w:cs="Arial"/>
        </w:rPr>
        <w:t xml:space="preserve"> Administración de activos; planeación con el objetivo de que el ente los utilice de manera más efectiva: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Adicionalmente, se deben incluir las explicaciones de las principales variaciones en el activo, en cuadros comparativos como sigue: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Inversiones en valores: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Patrimonio de Organismos descentralizados de Control Presupuestario Indirecto:</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lastRenderedPageBreak/>
        <w:t>c)</w:t>
      </w:r>
      <w:r w:rsidRPr="00BB216F">
        <w:rPr>
          <w:rFonts w:ascii="Arial" w:hAnsi="Arial" w:cs="Arial"/>
        </w:rPr>
        <w:t xml:space="preserve"> Inversiones en empresas de participación mayoritaria: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d)</w:t>
      </w:r>
      <w:r w:rsidRPr="00BB216F">
        <w:rPr>
          <w:rFonts w:ascii="Arial" w:hAnsi="Arial" w:cs="Arial"/>
        </w:rPr>
        <w:t xml:space="preserve"> Inversiones en empresas de participación minoritaria: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e)</w:t>
      </w:r>
      <w:r w:rsidRPr="00BB216F">
        <w:rPr>
          <w:rFonts w:ascii="Arial" w:hAnsi="Arial" w:cs="Arial"/>
        </w:rPr>
        <w:t xml:space="preserve"> Patrimonio de organismos descentralizados de control presupuestario directo, según corresponda: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9. Fideicomisos, Mandatos y Análogos: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deberá informar:</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Por ramo administrativo que los reporta: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Enlistar los de mayor monto de disponibilidad, relacionando aquéllos que conforman el 80% de las disponibilidades: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10. Reporte de la Recaudación:</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Análisis del comportamiento de la recaudación correspondiente al ente público o cualquier tipo de ingreso, de forma separada los ingresos locales de los federales: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Proyección de la recaudación e ingresos en el mediano plazo:</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11. Información sobre la Deuda y el Reporte Analítico de la Deuda: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Utilizar al menos los siguientes indicadores: deuda respecto al PIB y deuda respecto a la recaudación tomando, como mínimo, un período igual o menor a 5 años.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Información de manera agrupada por tipo de valor gubernamental o instrumento financiero en la que se consideren intereses, comisiones, tasa, perfil de vencimiento y otros gastos de la deuda.</w:t>
      </w:r>
    </w:p>
    <w:p w:rsidR="00172F97" w:rsidRPr="00BB216F" w:rsidRDefault="00172F97" w:rsidP="00172F97">
      <w:pPr>
        <w:spacing w:after="0" w:line="240" w:lineRule="auto"/>
        <w:jc w:val="both"/>
        <w:rPr>
          <w:rFonts w:ascii="Arial" w:hAnsi="Arial" w:cs="Arial"/>
        </w:rPr>
      </w:pPr>
      <w:r w:rsidRPr="00BB216F">
        <w:rPr>
          <w:rFonts w:ascii="Arial" w:hAnsi="Arial" w:cs="Arial"/>
        </w:rPr>
        <w:t>* Se anexara la información en las notas de desglose.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12. Calificaciones otorgadas: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Informar, tanto del ente público como cualquier transacción realizada, que haya sido sujeta a una calificación crediticia:</w:t>
      </w:r>
    </w:p>
    <w:p w:rsidR="00172F97" w:rsidRPr="00BB216F" w:rsidRDefault="00172F97" w:rsidP="00172F97">
      <w:pPr>
        <w:jc w:val="both"/>
        <w:rPr>
          <w:rFonts w:ascii="Arial" w:hAnsi="Arial" w:cs="Arial"/>
          <w:sz w:val="20"/>
          <w:szCs w:val="20"/>
        </w:rPr>
      </w:pPr>
      <w:r w:rsidRPr="00BB216F">
        <w:rPr>
          <w:rFonts w:ascii="Arial" w:hAnsi="Arial" w:cs="Arial"/>
          <w:sz w:val="20"/>
          <w:szCs w:val="20"/>
        </w:rPr>
        <w:t>No Aplica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13. Proceso de Mejora:</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informará de: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a)</w:t>
      </w:r>
      <w:r w:rsidRPr="00BB216F">
        <w:rPr>
          <w:rFonts w:ascii="Arial" w:hAnsi="Arial" w:cs="Arial"/>
        </w:rPr>
        <w:t xml:space="preserve"> Principales Políticas de control interno:</w:t>
      </w:r>
    </w:p>
    <w:p w:rsidR="00172F97" w:rsidRPr="00BB216F" w:rsidRDefault="00172F97" w:rsidP="00172F97">
      <w:pPr>
        <w:spacing w:after="0" w:line="240" w:lineRule="auto"/>
        <w:jc w:val="both"/>
        <w:rPr>
          <w:rFonts w:ascii="Arial" w:hAnsi="Arial" w:cs="Arial"/>
        </w:rPr>
      </w:pPr>
      <w:r w:rsidRPr="00BB216F">
        <w:rPr>
          <w:rFonts w:ascii="Arial" w:hAnsi="Arial" w:cs="Arial"/>
          <w:sz w:val="20"/>
          <w:szCs w:val="20"/>
        </w:rPr>
        <w:t>En general, nos apegamos a los Lineamientos Generales de Racionalidad, Austeridad y Disciplina Presupuestal aprobados por el H. Ayuntamiento para el Ejercicio 2016</w:t>
      </w:r>
      <w:r w:rsidRPr="00BB216F">
        <w:rPr>
          <w:rFonts w:ascii="Arial" w:hAnsi="Arial" w:cs="Arial"/>
        </w:rPr>
        <w:t>___</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b/>
        </w:rPr>
        <w:t>b)</w:t>
      </w:r>
      <w:r w:rsidRPr="00BB216F">
        <w:rPr>
          <w:rFonts w:ascii="Arial" w:hAnsi="Arial" w:cs="Arial"/>
        </w:rPr>
        <w:t xml:space="preserve"> Medidas de desempeño financiero, metas y alcance:</w:t>
      </w:r>
    </w:p>
    <w:p w:rsidR="00172F97" w:rsidRPr="00BB216F" w:rsidRDefault="00172F97" w:rsidP="00172F97">
      <w:pPr>
        <w:jc w:val="both"/>
        <w:rPr>
          <w:rFonts w:ascii="Arial" w:hAnsi="Arial" w:cs="Arial"/>
          <w:sz w:val="20"/>
          <w:szCs w:val="20"/>
        </w:rPr>
      </w:pPr>
      <w:r w:rsidRPr="00BB216F">
        <w:rPr>
          <w:rFonts w:ascii="Arial" w:hAnsi="Arial" w:cs="Arial"/>
          <w:sz w:val="20"/>
          <w:szCs w:val="20"/>
        </w:rPr>
        <w:t>No existen.</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14. Información por Segmentos: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Consecuentemente, esta información contribuye al análisis más preciso de la situación financiera, grados y fuentes de riesgo y crecimiento potencial de negocio.</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15. Eventos Posteriores al Cierre:</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BB216F">
        <w:rPr>
          <w:rFonts w:ascii="Arial" w:hAnsi="Arial" w:cs="Arial"/>
        </w:rPr>
        <w:cr/>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b/>
        </w:rPr>
      </w:pPr>
      <w:r w:rsidRPr="00BB216F">
        <w:rPr>
          <w:rFonts w:ascii="Arial" w:hAnsi="Arial" w:cs="Arial"/>
          <w:b/>
        </w:rPr>
        <w:t>16. Partes Relacionadas:</w:t>
      </w:r>
    </w:p>
    <w:p w:rsidR="00172F97" w:rsidRPr="00BB216F" w:rsidRDefault="00172F97" w:rsidP="00172F97">
      <w:pPr>
        <w:spacing w:after="0" w:line="240" w:lineRule="auto"/>
        <w:jc w:val="both"/>
        <w:rPr>
          <w:rFonts w:ascii="Arial" w:hAnsi="Arial" w:cs="Arial"/>
        </w:rPr>
      </w:pPr>
    </w:p>
    <w:p w:rsidR="00172F97" w:rsidRPr="00BB216F" w:rsidRDefault="00172F97" w:rsidP="00172F97">
      <w:pPr>
        <w:spacing w:after="0" w:line="240" w:lineRule="auto"/>
        <w:jc w:val="both"/>
        <w:rPr>
          <w:rFonts w:ascii="Arial" w:hAnsi="Arial" w:cs="Arial"/>
        </w:rPr>
      </w:pPr>
      <w:r w:rsidRPr="00BB216F">
        <w:rPr>
          <w:rFonts w:ascii="Arial" w:hAnsi="Arial" w:cs="Arial"/>
        </w:rPr>
        <w:t>Se debe establecer por escrito que no existen partes relacionadas que pudieran ejercer influencia significativa sobre la toma de decisiones financieras y operativas:</w:t>
      </w:r>
    </w:p>
    <w:p w:rsidR="00172F97" w:rsidRPr="00BB216F" w:rsidRDefault="00172F97" w:rsidP="00172F97">
      <w:pPr>
        <w:jc w:val="both"/>
        <w:rPr>
          <w:rFonts w:ascii="Arial" w:hAnsi="Arial" w:cs="Arial"/>
          <w:sz w:val="20"/>
          <w:szCs w:val="20"/>
        </w:rPr>
      </w:pPr>
      <w:r w:rsidRPr="00BB216F">
        <w:rPr>
          <w:rFonts w:ascii="Arial" w:hAnsi="Arial" w:cs="Arial"/>
          <w:sz w:val="20"/>
          <w:szCs w:val="20"/>
        </w:rPr>
        <w:t>No existen.</w:t>
      </w:r>
    </w:p>
    <w:p w:rsidR="00172F97" w:rsidRPr="00BB216F" w:rsidRDefault="00172F97" w:rsidP="00172F97">
      <w:pPr>
        <w:spacing w:after="0" w:line="240" w:lineRule="auto"/>
        <w:jc w:val="both"/>
        <w:rPr>
          <w:rFonts w:ascii="Arial" w:hAnsi="Arial" w:cs="Arial"/>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AE1F6A" w:rsidRPr="00E74967" w:rsidRDefault="00AE1F6A"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Default="00091CE6" w:rsidP="00AA41E5">
      <w:pPr>
        <w:pStyle w:val="Ttulo"/>
      </w:pPr>
      <w:r w:rsidRPr="00E74967">
        <w:lastRenderedPageBreak/>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bookmarkStart w:id="0" w:name="_GoBack"/>
      <w:bookmarkEnd w:id="0"/>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7610BC" w:rsidRDefault="007610BC" w:rsidP="007D1E76">
      <w:pPr>
        <w:jc w:val="both"/>
        <w:rPr>
          <w:rFonts w:cs="Calibri"/>
          <w:b/>
        </w:rPr>
      </w:pPr>
    </w:p>
    <w:p w:rsidR="007610BC" w:rsidRDefault="007610BC" w:rsidP="007D1E76">
      <w:pPr>
        <w:jc w:val="both"/>
        <w:rPr>
          <w:rFonts w:cs="Calibri"/>
          <w:b/>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7610BC" w:rsidRDefault="007610BC" w:rsidP="007610BC">
      <w:pPr>
        <w:spacing w:after="0" w:line="240" w:lineRule="auto"/>
        <w:jc w:val="both"/>
        <w:rPr>
          <w:rFonts w:cs="Calibri"/>
        </w:rPr>
      </w:pPr>
      <w:r>
        <w:rPr>
          <w:rFonts w:cs="Calibri"/>
        </w:rPr>
        <w:t>Propuesta de cedula:</w:t>
      </w:r>
    </w:p>
    <w:p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tblPr>
      <w:tblGrid>
        <w:gridCol w:w="704"/>
        <w:gridCol w:w="4111"/>
        <w:gridCol w:w="709"/>
        <w:gridCol w:w="1134"/>
        <w:gridCol w:w="1275"/>
        <w:gridCol w:w="1193"/>
      </w:tblGrid>
      <w:tr w:rsidR="007610BC" w:rsidRPr="00C36B44"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rsidR="007610BC" w:rsidRPr="007306C6" w:rsidRDefault="007610BC" w:rsidP="007610BC">
      <w:pPr>
        <w:spacing w:after="0" w:line="240" w:lineRule="auto"/>
        <w:jc w:val="both"/>
        <w:rPr>
          <w:rFonts w:cs="Calibri"/>
          <w:b/>
        </w:rPr>
      </w:pPr>
    </w:p>
    <w:p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879" w:rsidRDefault="00DE7879" w:rsidP="00E00323">
      <w:pPr>
        <w:spacing w:after="0" w:line="240" w:lineRule="auto"/>
      </w:pPr>
      <w:r>
        <w:separator/>
      </w:r>
    </w:p>
  </w:endnote>
  <w:endnote w:type="continuationSeparator" w:id="0">
    <w:p w:rsidR="00DE7879" w:rsidRDefault="00DE7879"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879" w:rsidRDefault="00DE7879" w:rsidP="00E00323">
      <w:pPr>
        <w:spacing w:after="0" w:line="240" w:lineRule="auto"/>
      </w:pPr>
      <w:r>
        <w:separator/>
      </w:r>
    </w:p>
  </w:footnote>
  <w:footnote w:type="continuationSeparator" w:id="0">
    <w:p w:rsidR="00DE7879" w:rsidRDefault="00DE7879"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172F97" w:rsidP="00154BA3">
    <w:pPr>
      <w:pStyle w:val="Encabezado"/>
      <w:jc w:val="center"/>
    </w:pPr>
    <w:r>
      <w:t>INSTITUTO MUNICIPAL DE VIVIENDA DE IRAPUATO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D1E76"/>
    <w:rsid w:val="00091CE6"/>
    <w:rsid w:val="000B7810"/>
    <w:rsid w:val="00154BA3"/>
    <w:rsid w:val="00172F97"/>
    <w:rsid w:val="001973A2"/>
    <w:rsid w:val="001C75F2"/>
    <w:rsid w:val="001D2063"/>
    <w:rsid w:val="00233235"/>
    <w:rsid w:val="00435A87"/>
    <w:rsid w:val="004A58C8"/>
    <w:rsid w:val="005D3E43"/>
    <w:rsid w:val="005E231E"/>
    <w:rsid w:val="00657009"/>
    <w:rsid w:val="00681C79"/>
    <w:rsid w:val="007610BC"/>
    <w:rsid w:val="007714AB"/>
    <w:rsid w:val="007D1E76"/>
    <w:rsid w:val="0086459F"/>
    <w:rsid w:val="008E076C"/>
    <w:rsid w:val="00AA41E5"/>
    <w:rsid w:val="00AE1F6A"/>
    <w:rsid w:val="00D13C44"/>
    <w:rsid w:val="00D975B1"/>
    <w:rsid w:val="00DE7879"/>
    <w:rsid w:val="00E00323"/>
    <w:rsid w:val="00E74967"/>
    <w:rsid w:val="00EA79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Textoindependiente2">
    <w:name w:val="Body Text 2"/>
    <w:basedOn w:val="Normal"/>
    <w:link w:val="Textoindependiente2Car"/>
    <w:rsid w:val="00172F97"/>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172F97"/>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7</cp:revision>
  <dcterms:created xsi:type="dcterms:W3CDTF">2017-01-12T05:27:00Z</dcterms:created>
  <dcterms:modified xsi:type="dcterms:W3CDTF">2017-04-05T20:57:00Z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